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FA28" w14:textId="77777777" w:rsidR="00C0294D" w:rsidRPr="00B968AE" w:rsidRDefault="002E02A5" w:rsidP="00C0294D">
      <w:pPr>
        <w:pStyle w:val="Subtitle"/>
        <w:pBdr>
          <w:top w:val="single" w:sz="4" w:space="8" w:color="auto"/>
          <w:bottom w:val="single" w:sz="4" w:space="8" w:color="auto"/>
        </w:pBdr>
        <w:shd w:val="clear" w:color="auto" w:fill="E0E0E0"/>
        <w:spacing w:before="40" w:after="40"/>
        <w:rPr>
          <w:rFonts w:ascii="Times New Roman" w:hAnsi="Times New Roman"/>
          <w:szCs w:val="22"/>
        </w:rPr>
      </w:pPr>
      <w:proofErr w:type="spellStart"/>
      <w:r w:rsidRPr="00B968AE">
        <w:rPr>
          <w:rFonts w:ascii="Times New Roman" w:hAnsi="Times New Roman"/>
          <w:szCs w:val="22"/>
        </w:rPr>
        <w:t>Atovaquone</w:t>
      </w:r>
      <w:proofErr w:type="spellEnd"/>
      <w:r w:rsidRPr="00B968AE">
        <w:rPr>
          <w:rFonts w:ascii="Times New Roman" w:hAnsi="Times New Roman"/>
          <w:szCs w:val="22"/>
        </w:rPr>
        <w:t xml:space="preserve"> and </w:t>
      </w:r>
      <w:proofErr w:type="spellStart"/>
      <w:r w:rsidRPr="00B968AE">
        <w:rPr>
          <w:rFonts w:ascii="Times New Roman" w:hAnsi="Times New Roman"/>
          <w:szCs w:val="22"/>
        </w:rPr>
        <w:t>proguanil</w:t>
      </w:r>
      <w:proofErr w:type="spellEnd"/>
      <w:r w:rsidRPr="00B968AE">
        <w:rPr>
          <w:rFonts w:ascii="Times New Roman" w:hAnsi="Times New Roman"/>
          <w:szCs w:val="22"/>
        </w:rPr>
        <w:t xml:space="preserve"> hydrochloride</w:t>
      </w:r>
      <w:r w:rsidR="00C0294D" w:rsidRPr="00B968AE">
        <w:rPr>
          <w:rFonts w:ascii="Times New Roman" w:hAnsi="Times New Roman"/>
          <w:szCs w:val="22"/>
        </w:rPr>
        <w:t xml:space="preserve"> (</w:t>
      </w:r>
      <w:proofErr w:type="spellStart"/>
      <w:r w:rsidRPr="00B968AE">
        <w:rPr>
          <w:rFonts w:ascii="Times New Roman" w:hAnsi="Times New Roman"/>
          <w:szCs w:val="22"/>
        </w:rPr>
        <w:t>Malarone</w:t>
      </w:r>
      <w:proofErr w:type="spellEnd"/>
      <w:r w:rsidRPr="00B968AE">
        <w:rPr>
          <w:rFonts w:ascii="Times New Roman" w:hAnsi="Times New Roman"/>
          <w:szCs w:val="22"/>
        </w:rPr>
        <w:t>®</w:t>
      </w:r>
      <w:r w:rsidR="00C0294D" w:rsidRPr="00B968AE">
        <w:rPr>
          <w:rFonts w:ascii="Times New Roman" w:hAnsi="Times New Roman"/>
          <w:szCs w:val="22"/>
        </w:rPr>
        <w:t>)</w:t>
      </w:r>
    </w:p>
    <w:p w14:paraId="6F6E838E" w14:textId="77777777" w:rsidR="00537E8D" w:rsidRPr="00B968AE" w:rsidRDefault="00537E8D">
      <w:pPr>
        <w:pStyle w:val="Title"/>
        <w:pBdr>
          <w:top w:val="single" w:sz="4" w:space="8" w:color="auto"/>
          <w:bottom w:val="single" w:sz="4" w:space="8" w:color="auto"/>
        </w:pBdr>
        <w:shd w:val="clear" w:color="auto" w:fill="E0E0E0"/>
        <w:spacing w:before="40" w:after="40"/>
        <w:rPr>
          <w:rFonts w:ascii="Times New Roman" w:hAnsi="Times New Roman"/>
          <w:szCs w:val="22"/>
        </w:rPr>
      </w:pPr>
      <w:r w:rsidRPr="00B968AE">
        <w:rPr>
          <w:rFonts w:ascii="Times New Roman" w:hAnsi="Times New Roman"/>
          <w:szCs w:val="22"/>
        </w:rPr>
        <w:t>National Drug Monograph</w:t>
      </w:r>
    </w:p>
    <w:p w14:paraId="7DB9D32C" w14:textId="7CB44D7A" w:rsidR="00537E8D" w:rsidRPr="00B968AE" w:rsidRDefault="00334ED7">
      <w:pPr>
        <w:pStyle w:val="Subtitle"/>
        <w:pBdr>
          <w:top w:val="single" w:sz="4" w:space="8" w:color="auto"/>
          <w:bottom w:val="single" w:sz="4" w:space="8" w:color="auto"/>
        </w:pBdr>
        <w:shd w:val="clear" w:color="auto" w:fill="E0E0E0"/>
        <w:spacing w:before="40" w:after="40"/>
        <w:rPr>
          <w:rFonts w:ascii="Times New Roman" w:hAnsi="Times New Roman"/>
          <w:szCs w:val="22"/>
        </w:rPr>
      </w:pPr>
      <w:r>
        <w:rPr>
          <w:rFonts w:ascii="Times New Roman" w:hAnsi="Times New Roman"/>
          <w:szCs w:val="22"/>
        </w:rPr>
        <w:t xml:space="preserve">May </w:t>
      </w:r>
      <w:r w:rsidR="002E02A5" w:rsidRPr="00B968AE">
        <w:rPr>
          <w:rFonts w:ascii="Times New Roman" w:hAnsi="Times New Roman"/>
          <w:szCs w:val="22"/>
        </w:rPr>
        <w:t>2014</w:t>
      </w:r>
    </w:p>
    <w:p w14:paraId="5CE73119" w14:textId="77777777" w:rsidR="00537E8D" w:rsidRPr="00B968AE" w:rsidRDefault="00537E8D">
      <w:pPr>
        <w:pStyle w:val="Subtitle"/>
        <w:pBdr>
          <w:top w:val="single" w:sz="4" w:space="8" w:color="auto"/>
          <w:bottom w:val="single" w:sz="4" w:space="8" w:color="auto"/>
        </w:pBdr>
        <w:shd w:val="clear" w:color="auto" w:fill="E0E0E0"/>
        <w:spacing w:before="40" w:after="40"/>
        <w:rPr>
          <w:rFonts w:ascii="Times New Roman" w:hAnsi="Times New Roman"/>
          <w:szCs w:val="22"/>
        </w:rPr>
      </w:pPr>
      <w:r w:rsidRPr="00B968AE">
        <w:rPr>
          <w:rFonts w:ascii="Times New Roman" w:hAnsi="Times New Roman"/>
          <w:szCs w:val="22"/>
        </w:rPr>
        <w:t xml:space="preserve">VA Pharmacy Benefits Management </w:t>
      </w:r>
      <w:r w:rsidR="006026D5" w:rsidRPr="00B968AE">
        <w:rPr>
          <w:rFonts w:ascii="Times New Roman" w:hAnsi="Times New Roman"/>
          <w:szCs w:val="22"/>
        </w:rPr>
        <w:t>Service</w:t>
      </w:r>
      <w:r w:rsidR="00FC2386" w:rsidRPr="00B968AE">
        <w:rPr>
          <w:rFonts w:ascii="Times New Roman" w:hAnsi="Times New Roman"/>
          <w:szCs w:val="22"/>
        </w:rPr>
        <w:t>s,</w:t>
      </w:r>
      <w:r w:rsidRPr="00B968AE">
        <w:rPr>
          <w:rFonts w:ascii="Times New Roman" w:hAnsi="Times New Roman"/>
          <w:szCs w:val="22"/>
        </w:rPr>
        <w:t xml:space="preserve"> </w:t>
      </w:r>
      <w:r w:rsidR="00FC2386" w:rsidRPr="00B968AE">
        <w:rPr>
          <w:rFonts w:ascii="Times New Roman" w:hAnsi="Times New Roman"/>
          <w:szCs w:val="22"/>
        </w:rPr>
        <w:br/>
      </w:r>
      <w:r w:rsidRPr="00B968AE">
        <w:rPr>
          <w:rFonts w:ascii="Times New Roman" w:hAnsi="Times New Roman"/>
          <w:szCs w:val="22"/>
        </w:rPr>
        <w:t>Medical Advisory Panel</w:t>
      </w:r>
      <w:r w:rsidR="00FC2386" w:rsidRPr="00B968AE">
        <w:rPr>
          <w:rFonts w:ascii="Times New Roman" w:hAnsi="Times New Roman"/>
          <w:szCs w:val="22"/>
        </w:rPr>
        <w:t>, and VISN Pharmacist Executives</w:t>
      </w:r>
    </w:p>
    <w:p w14:paraId="2C537E80" w14:textId="77777777" w:rsidR="00937B26" w:rsidRPr="00B968AE" w:rsidRDefault="00937B26" w:rsidP="0057678B">
      <w:pPr>
        <w:pStyle w:val="NormalWeb"/>
        <w:spacing w:before="0" w:beforeAutospacing="0" w:after="0" w:afterAutospacing="0"/>
        <w:rPr>
          <w:sz w:val="22"/>
          <w:szCs w:val="22"/>
        </w:rPr>
      </w:pPr>
      <w:r w:rsidRPr="00B968AE">
        <w:rPr>
          <w:i/>
          <w:iCs/>
          <w:sz w:val="22"/>
          <w:szCs w:val="22"/>
        </w:rPr>
        <w:t>The purpose of VA PBM</w:t>
      </w:r>
      <w:r w:rsidR="00FC2386" w:rsidRPr="00B968AE">
        <w:rPr>
          <w:i/>
          <w:iCs/>
          <w:sz w:val="22"/>
          <w:szCs w:val="22"/>
        </w:rPr>
        <w:t xml:space="preserve"> Services</w:t>
      </w:r>
      <w:r w:rsidRPr="00B968AE">
        <w:rPr>
          <w:i/>
          <w:iCs/>
          <w:sz w:val="22"/>
          <w:szCs w:val="22"/>
        </w:rPr>
        <w:t xml:space="preserve"> drug monographs is to provide a comprehensive drug review for making formulary decisions. These documents will be updated when new </w:t>
      </w:r>
      <w:r w:rsidR="003C4333" w:rsidRPr="00B968AE">
        <w:rPr>
          <w:i/>
          <w:iCs/>
          <w:sz w:val="22"/>
          <w:szCs w:val="22"/>
        </w:rPr>
        <w:t xml:space="preserve">clinical </w:t>
      </w:r>
      <w:r w:rsidRPr="00B968AE">
        <w:rPr>
          <w:i/>
          <w:iCs/>
          <w:sz w:val="22"/>
          <w:szCs w:val="22"/>
        </w:rPr>
        <w:t>data warrant additional formulary discussion. Documents will be placed in the Archive section when the information is deemed to be no longer current.</w:t>
      </w:r>
    </w:p>
    <w:p w14:paraId="1A28B5FD" w14:textId="110EAE9F" w:rsidR="00537E8D" w:rsidRPr="00B968AE" w:rsidRDefault="00537E8D" w:rsidP="00D47A31">
      <w:pPr>
        <w:pStyle w:val="Heading1"/>
        <w:spacing w:before="0" w:after="0"/>
        <w:rPr>
          <w:rFonts w:ascii="Times New Roman" w:hAnsi="Times New Roman"/>
          <w:szCs w:val="22"/>
        </w:rPr>
      </w:pPr>
      <w:bookmarkStart w:id="0" w:name="_Ref80503453"/>
      <w:r w:rsidRPr="00B968AE">
        <w:rPr>
          <w:rFonts w:ascii="Times New Roman" w:hAnsi="Times New Roman"/>
          <w:szCs w:val="22"/>
        </w:rPr>
        <w:t>Executive Summary</w:t>
      </w:r>
      <w:bookmarkEnd w:id="0"/>
      <w:r w:rsidR="00221BE3" w:rsidRPr="00B968AE">
        <w:rPr>
          <w:rFonts w:ascii="Times New Roman" w:hAnsi="Times New Roman"/>
          <w:b w:val="0"/>
          <w:szCs w:val="22"/>
          <w:u w:val="none"/>
          <w:vertAlign w:val="superscript"/>
        </w:rPr>
        <w:t>1</w:t>
      </w:r>
      <w:r w:rsidR="00E7153A" w:rsidRPr="00B968AE">
        <w:rPr>
          <w:rFonts w:ascii="Times New Roman" w:hAnsi="Times New Roman"/>
          <w:b w:val="0"/>
          <w:szCs w:val="22"/>
          <w:u w:val="none"/>
          <w:vertAlign w:val="superscript"/>
        </w:rPr>
        <w:t>,</w:t>
      </w:r>
      <w:r w:rsidR="00E7153A">
        <w:rPr>
          <w:rFonts w:ascii="Times New Roman" w:hAnsi="Times New Roman"/>
          <w:b w:val="0"/>
          <w:szCs w:val="22"/>
          <w:u w:val="none"/>
          <w:vertAlign w:val="superscript"/>
        </w:rPr>
        <w:t xml:space="preserve"> 20</w:t>
      </w:r>
      <w:r w:rsidRPr="00B968AE">
        <w:rPr>
          <w:rFonts w:ascii="Times New Roman" w:hAnsi="Times New Roman"/>
          <w:szCs w:val="22"/>
        </w:rPr>
        <w:t xml:space="preserve"> </w:t>
      </w:r>
    </w:p>
    <w:p w14:paraId="64B23EC6" w14:textId="5B5A36C0" w:rsidR="00B13ACF" w:rsidRPr="00B968AE" w:rsidRDefault="00B13ACF" w:rsidP="00584467">
      <w:pPr>
        <w:pStyle w:val="ListBullet2"/>
        <w:numPr>
          <w:ilvl w:val="0"/>
          <w:numId w:val="47"/>
        </w:numPr>
      </w:pPr>
      <w:r w:rsidRPr="00B968AE">
        <w:t xml:space="preserve">Atovaquone/proguanil is a fixed-dose combination antimalarial agent </w:t>
      </w:r>
      <w:r w:rsidR="00647AAA" w:rsidRPr="00B968AE">
        <w:t xml:space="preserve">with synergistic </w:t>
      </w:r>
      <w:r w:rsidR="004242FB" w:rsidRPr="00B968AE">
        <w:t>activity against</w:t>
      </w:r>
      <w:r w:rsidRPr="00B968AE">
        <w:t xml:space="preserve"> the liver and blood stage</w:t>
      </w:r>
      <w:r w:rsidR="0040754E" w:rsidRPr="00B968AE">
        <w:t xml:space="preserve">s of </w:t>
      </w:r>
      <w:r w:rsidR="0040754E" w:rsidRPr="00B968AE">
        <w:rPr>
          <w:i/>
        </w:rPr>
        <w:t>Plasmodium</w:t>
      </w:r>
      <w:r w:rsidRPr="00B968AE">
        <w:rPr>
          <w:i/>
        </w:rPr>
        <w:t xml:space="preserve"> </w:t>
      </w:r>
      <w:r w:rsidRPr="00B968AE">
        <w:t xml:space="preserve">spp. </w:t>
      </w:r>
    </w:p>
    <w:p w14:paraId="38FBEAE1" w14:textId="77777777" w:rsidR="009253F4" w:rsidRDefault="006861D8" w:rsidP="00584467">
      <w:pPr>
        <w:pStyle w:val="ListBullet2"/>
        <w:numPr>
          <w:ilvl w:val="0"/>
          <w:numId w:val="47"/>
        </w:numPr>
      </w:pPr>
      <w:r w:rsidRPr="00B968AE">
        <w:t xml:space="preserve">Atovaquone/proguanil </w:t>
      </w:r>
      <w:r w:rsidR="00765A10" w:rsidRPr="00B968AE">
        <w:t xml:space="preserve">was </w:t>
      </w:r>
      <w:r w:rsidR="00B13ACF" w:rsidRPr="00B968AE">
        <w:t>FDA approved</w:t>
      </w:r>
      <w:r w:rsidR="00897924">
        <w:t xml:space="preserve"> in July 2000</w:t>
      </w:r>
      <w:r w:rsidR="00B13ACF" w:rsidRPr="00B968AE">
        <w:t xml:space="preserve"> for </w:t>
      </w:r>
      <w:r w:rsidRPr="00B968AE">
        <w:t xml:space="preserve">prevention and treatment of </w:t>
      </w:r>
      <w:r w:rsidR="00341710" w:rsidRPr="00B968AE">
        <w:t xml:space="preserve">uncomplicated </w:t>
      </w:r>
      <w:r w:rsidRPr="00B968AE">
        <w:rPr>
          <w:i/>
        </w:rPr>
        <w:t>Plasmodium falciparum</w:t>
      </w:r>
      <w:r w:rsidRPr="00B968AE">
        <w:t xml:space="preserve"> malaria, including areas with chloroquine-resistance.</w:t>
      </w:r>
    </w:p>
    <w:p w14:paraId="779021A7" w14:textId="1AFD9BEF" w:rsidR="009253F4" w:rsidRPr="009253F4" w:rsidRDefault="009253F4" w:rsidP="00584467">
      <w:pPr>
        <w:pStyle w:val="ListBullet2"/>
        <w:numPr>
          <w:ilvl w:val="0"/>
          <w:numId w:val="47"/>
        </w:numPr>
        <w:rPr>
          <w:szCs w:val="22"/>
        </w:rPr>
      </w:pPr>
      <w:r w:rsidRPr="009253F4">
        <w:rPr>
          <w:szCs w:val="22"/>
        </w:rPr>
        <w:t>Atovaquone/proguanil is recommend</w:t>
      </w:r>
      <w:r>
        <w:rPr>
          <w:szCs w:val="22"/>
        </w:rPr>
        <w:t xml:space="preserve">ed by the CDC </w:t>
      </w:r>
      <w:r>
        <w:t>p</w:t>
      </w:r>
      <w:r w:rsidRPr="005E3C74">
        <w:t>rophylaxis of malaria</w:t>
      </w:r>
      <w:r>
        <w:t xml:space="preserve"> in chloroquine-</w:t>
      </w:r>
      <w:r w:rsidRPr="005E3C74">
        <w:t>sensit</w:t>
      </w:r>
      <w:r>
        <w:t>ive and -resistant areas; t</w:t>
      </w:r>
      <w:r w:rsidRPr="00247139">
        <w:t xml:space="preserve">reatment of uncomplicated </w:t>
      </w:r>
      <w:r w:rsidRPr="009253F4">
        <w:rPr>
          <w:i/>
        </w:rPr>
        <w:t>P</w:t>
      </w:r>
      <w:r w:rsidRPr="00247139">
        <w:t xml:space="preserve">. </w:t>
      </w:r>
      <w:r w:rsidRPr="009253F4">
        <w:rPr>
          <w:i/>
        </w:rPr>
        <w:t>falciparum</w:t>
      </w:r>
      <w:r w:rsidRPr="00247139">
        <w:t xml:space="preserve"> malaria </w:t>
      </w:r>
      <w:r>
        <w:t>(</w:t>
      </w:r>
      <w:r w:rsidRPr="00247139">
        <w:t xml:space="preserve">or species </w:t>
      </w:r>
      <w:r>
        <w:t xml:space="preserve">that were </w:t>
      </w:r>
      <w:r w:rsidRPr="00247139">
        <w:t>not identified</w:t>
      </w:r>
      <w:r>
        <w:t>)</w:t>
      </w:r>
      <w:r w:rsidRPr="00247139">
        <w:t xml:space="preserve"> in chloroquine-resistant or </w:t>
      </w:r>
      <w:r>
        <w:t xml:space="preserve">areas with </w:t>
      </w:r>
      <w:r w:rsidRPr="00247139">
        <w:t>unknown resistance</w:t>
      </w:r>
      <w:r>
        <w:t>; and t</w:t>
      </w:r>
      <w:r w:rsidRPr="00247139">
        <w:t xml:space="preserve">reatment of uncomplicated </w:t>
      </w:r>
      <w:r w:rsidRPr="009253F4">
        <w:rPr>
          <w:i/>
        </w:rPr>
        <w:t xml:space="preserve">P. </w:t>
      </w:r>
      <w:proofErr w:type="spellStart"/>
      <w:r w:rsidRPr="009253F4">
        <w:rPr>
          <w:i/>
        </w:rPr>
        <w:t>vivax</w:t>
      </w:r>
      <w:proofErr w:type="spellEnd"/>
      <w:r w:rsidRPr="00247139">
        <w:t xml:space="preserve"> malaria (in combination with </w:t>
      </w:r>
      <w:proofErr w:type="spellStart"/>
      <w:r w:rsidRPr="00247139">
        <w:t>primaquine</w:t>
      </w:r>
      <w:proofErr w:type="spellEnd"/>
      <w:r w:rsidRPr="00247139">
        <w:t xml:space="preserve">) in </w:t>
      </w:r>
      <w:proofErr w:type="spellStart"/>
      <w:r w:rsidRPr="00247139">
        <w:t>chloroquine</w:t>
      </w:r>
      <w:proofErr w:type="spellEnd"/>
      <w:r w:rsidRPr="00247139">
        <w:t xml:space="preserve">-resistant </w:t>
      </w:r>
      <w:r>
        <w:t>areas.</w:t>
      </w:r>
    </w:p>
    <w:p w14:paraId="6725D143" w14:textId="5BF3ECA8" w:rsidR="0033506B" w:rsidRPr="00B968AE" w:rsidRDefault="00E04780" w:rsidP="00584467">
      <w:pPr>
        <w:pStyle w:val="ListBullet2"/>
        <w:numPr>
          <w:ilvl w:val="0"/>
          <w:numId w:val="47"/>
        </w:numPr>
      </w:pPr>
      <w:r>
        <w:t>The recommended prophylaxis dosage regimen</w:t>
      </w:r>
      <w:r w:rsidR="005C6F2F" w:rsidRPr="00B968AE">
        <w:t xml:space="preserve"> is 1 tablet orally once daily with food or milk, start 1-2 days prior to entering </w:t>
      </w:r>
      <w:r w:rsidR="00E7153A" w:rsidRPr="00B968AE">
        <w:t>malaria-endemic areas</w:t>
      </w:r>
      <w:r w:rsidR="005C6F2F" w:rsidRPr="00B968AE">
        <w:t xml:space="preserve">, continue throughout the stay, and for 7 days after returning. </w:t>
      </w:r>
      <w:r w:rsidR="0033506B" w:rsidRPr="00B968AE">
        <w:t xml:space="preserve"> However, choosing a drug to prevent malaria differs by country of travel and information can be found at </w:t>
      </w:r>
      <w:hyperlink r:id="rId9" w:history="1">
        <w:r w:rsidR="0033506B" w:rsidRPr="00B968AE">
          <w:rPr>
            <w:rStyle w:val="Hyperlink"/>
            <w:szCs w:val="22"/>
          </w:rPr>
          <w:t>http://wwwnc.cdc.gov/travel/destinations/list</w:t>
        </w:r>
      </w:hyperlink>
      <w:r w:rsidR="0033506B" w:rsidRPr="00B968AE">
        <w:t xml:space="preserve">. Medication counseling should include the following statement: “No antimalarial drug is 100% protective and must be combined with the use of personal protective measures (i.e. insect repellent, long sleeves, long pants, sleeping in mosquito-free setting or using an insecticide-treated </w:t>
      </w:r>
      <w:proofErr w:type="spellStart"/>
      <w:r w:rsidR="0033506B" w:rsidRPr="00B968AE">
        <w:t>bednet</w:t>
      </w:r>
      <w:proofErr w:type="spellEnd"/>
      <w:r w:rsidR="0033506B" w:rsidRPr="00B968AE">
        <w:t>)”</w:t>
      </w:r>
      <w:r w:rsidR="0057678B">
        <w:t>.</w:t>
      </w:r>
    </w:p>
    <w:p w14:paraId="2DF59C94" w14:textId="3BE75B70" w:rsidR="0033506B" w:rsidRPr="00B968AE" w:rsidRDefault="00E04780" w:rsidP="00584467">
      <w:pPr>
        <w:pStyle w:val="ListBullet2"/>
        <w:numPr>
          <w:ilvl w:val="0"/>
          <w:numId w:val="47"/>
        </w:numPr>
      </w:pPr>
      <w:r>
        <w:t>The recommended treatment dosage regimen</w:t>
      </w:r>
      <w:r w:rsidR="005C6F2F" w:rsidRPr="00B968AE">
        <w:t xml:space="preserve"> is 4 tablets orally once daily </w:t>
      </w:r>
      <w:r w:rsidR="00F21A93" w:rsidRPr="00B968AE">
        <w:t xml:space="preserve">with food or milk </w:t>
      </w:r>
      <w:r w:rsidR="005C6F2F" w:rsidRPr="00B968AE">
        <w:t xml:space="preserve">for 3 consecutive days. </w:t>
      </w:r>
      <w:r w:rsidR="0033506B" w:rsidRPr="00B968AE">
        <w:t xml:space="preserve">However, treatment of malaria is multifactorial and depends on the type of </w:t>
      </w:r>
      <w:r w:rsidR="0033506B" w:rsidRPr="00B968AE">
        <w:rPr>
          <w:i/>
        </w:rPr>
        <w:t>Plasmodium</w:t>
      </w:r>
      <w:r w:rsidR="0033506B" w:rsidRPr="00B968AE">
        <w:t xml:space="preserve"> parasite</w:t>
      </w:r>
      <w:r w:rsidR="007A46F0" w:rsidRPr="00B968AE">
        <w:t>s</w:t>
      </w:r>
      <w:r w:rsidR="0033506B" w:rsidRPr="00B968AE">
        <w:t>, the geographic area of infection and drug-resistance status, clinical status, co-</w:t>
      </w:r>
      <w:r w:rsidR="007A46F0" w:rsidRPr="00B968AE">
        <w:t>morbidities</w:t>
      </w:r>
      <w:r w:rsidR="0033506B" w:rsidRPr="00B968AE">
        <w:t xml:space="preserve">, pregnancy status, drug </w:t>
      </w:r>
      <w:r w:rsidR="00AB01DA" w:rsidRPr="00B968AE">
        <w:t>allergies</w:t>
      </w:r>
      <w:r>
        <w:t>, and concomitant medications. F</w:t>
      </w:r>
      <w:r w:rsidR="0033506B" w:rsidRPr="00B968AE">
        <w:t xml:space="preserve">or detail information regarding drug for malaria treatment in the United States, please refer to the following link </w:t>
      </w:r>
      <w:hyperlink r:id="rId10" w:history="1">
        <w:r w:rsidR="0033506B" w:rsidRPr="00B968AE">
          <w:rPr>
            <w:rStyle w:val="Hyperlink"/>
            <w:color w:val="auto"/>
            <w:szCs w:val="22"/>
          </w:rPr>
          <w:t>http://www.cdc.gov/malaria/resources/pdf/treatmenttable.pdf</w:t>
        </w:r>
      </w:hyperlink>
    </w:p>
    <w:p w14:paraId="660B2D71" w14:textId="1D59A141" w:rsidR="00B635F4" w:rsidRPr="00F220E7" w:rsidRDefault="00F220E7" w:rsidP="00F220E7">
      <w:pPr>
        <w:pStyle w:val="ListBullet2"/>
        <w:numPr>
          <w:ilvl w:val="0"/>
          <w:numId w:val="47"/>
        </w:numPr>
      </w:pPr>
      <w:r w:rsidRPr="00F220E7">
        <w:t>A</w:t>
      </w:r>
      <w:r w:rsidR="002743A8" w:rsidRPr="00F220E7">
        <w:t>tovaquone/proguanil</w:t>
      </w:r>
      <w:r w:rsidR="00E04780" w:rsidRPr="00F220E7">
        <w:t xml:space="preserve"> </w:t>
      </w:r>
      <w:r w:rsidRPr="00F220E7">
        <w:t xml:space="preserve">has been shown to be </w:t>
      </w:r>
      <w:r w:rsidR="007A46F0" w:rsidRPr="00F220E7">
        <w:t xml:space="preserve">efficacious in preventing </w:t>
      </w:r>
      <w:r w:rsidR="007A46F0" w:rsidRPr="00F220E7">
        <w:rPr>
          <w:i/>
        </w:rPr>
        <w:t>P</w:t>
      </w:r>
      <w:r w:rsidR="007A46F0" w:rsidRPr="00F220E7">
        <w:t xml:space="preserve">. </w:t>
      </w:r>
      <w:r w:rsidR="004242FB" w:rsidRPr="00F220E7">
        <w:rPr>
          <w:i/>
        </w:rPr>
        <w:t>falciparum</w:t>
      </w:r>
      <w:r w:rsidR="004242FB" w:rsidRPr="00F220E7">
        <w:t xml:space="preserve"> malaria in both non-immune </w:t>
      </w:r>
      <w:r w:rsidR="002429A6" w:rsidRPr="00F220E7">
        <w:t xml:space="preserve">travelers to malaria-endemic area </w:t>
      </w:r>
      <w:r>
        <w:t>and semi-immune adults</w:t>
      </w:r>
      <w:r w:rsidRPr="00F220E7">
        <w:t>.</w:t>
      </w:r>
      <w:r w:rsidR="00287B06">
        <w:t xml:space="preserve">  It also has demonstrated </w:t>
      </w:r>
      <w:r w:rsidR="00A267AB" w:rsidRPr="00F220E7">
        <w:t xml:space="preserve">curative </w:t>
      </w:r>
      <w:r w:rsidR="005007E4" w:rsidRPr="00F220E7">
        <w:t xml:space="preserve">efficacy for the treatment of uncomplicated </w:t>
      </w:r>
      <w:r w:rsidR="005007E4" w:rsidRPr="00F220E7">
        <w:rPr>
          <w:i/>
        </w:rPr>
        <w:t>P</w:t>
      </w:r>
      <w:r w:rsidR="005007E4" w:rsidRPr="00F220E7">
        <w:t xml:space="preserve">. </w:t>
      </w:r>
      <w:r w:rsidR="005007E4" w:rsidRPr="00F220E7">
        <w:rPr>
          <w:i/>
        </w:rPr>
        <w:t>falciparum</w:t>
      </w:r>
      <w:r w:rsidR="005007E4" w:rsidRPr="00F220E7">
        <w:t xml:space="preserve"> acquired in areas with chloroquine- and multidrug-resistant </w:t>
      </w:r>
      <w:r w:rsidR="00A267AB" w:rsidRPr="00F220E7">
        <w:t>parasites</w:t>
      </w:r>
      <w:r w:rsidR="005007E4" w:rsidRPr="00F220E7">
        <w:t xml:space="preserve"> in adults.  The overall primary efficacy endpo</w:t>
      </w:r>
      <w:r w:rsidR="00E04780" w:rsidRPr="00F220E7">
        <w:t>int (</w:t>
      </w:r>
      <w:proofErr w:type="spellStart"/>
      <w:r w:rsidR="00E04780" w:rsidRPr="00F220E7">
        <w:t>i.e</w:t>
      </w:r>
      <w:proofErr w:type="spellEnd"/>
      <w:r w:rsidR="00E04780" w:rsidRPr="00F220E7">
        <w:t>, 28-day cure rate) was</w:t>
      </w:r>
      <w:r w:rsidRPr="00F220E7">
        <w:t xml:space="preserve"> 98-100%. </w:t>
      </w:r>
    </w:p>
    <w:p w14:paraId="68648DA3" w14:textId="5FB1993B" w:rsidR="00736816" w:rsidRDefault="00135214" w:rsidP="00584467">
      <w:pPr>
        <w:pStyle w:val="ListBullet2"/>
        <w:numPr>
          <w:ilvl w:val="0"/>
          <w:numId w:val="47"/>
        </w:numPr>
      </w:pPr>
      <w:r w:rsidRPr="00B968AE">
        <w:t>Atovaquone/proguanil has safety considerations with warning/precauti</w:t>
      </w:r>
      <w:r w:rsidR="006F08DE" w:rsidRPr="00B968AE">
        <w:t xml:space="preserve">ons in pregnant/lactating women, </w:t>
      </w:r>
      <w:r w:rsidRPr="00B968AE">
        <w:t xml:space="preserve">and patients with severe renal impairment. </w:t>
      </w:r>
      <w:r w:rsidR="0016643D" w:rsidRPr="00B968AE">
        <w:t xml:space="preserve">The most commonly observed adverse events in clinical trials were headache, nausea, vomiting, abdominal pain, and </w:t>
      </w:r>
      <w:r w:rsidR="002429A6" w:rsidRPr="00B968AE">
        <w:t>diarrhea</w:t>
      </w:r>
      <w:r w:rsidR="00931AA9">
        <w:t xml:space="preserve">. </w:t>
      </w:r>
    </w:p>
    <w:p w14:paraId="5FC3E7EF" w14:textId="49F9927A" w:rsidR="002429A6" w:rsidRPr="00B968AE" w:rsidRDefault="002429A6" w:rsidP="00584467">
      <w:pPr>
        <w:pStyle w:val="ListBullet2"/>
        <w:numPr>
          <w:ilvl w:val="0"/>
          <w:numId w:val="47"/>
        </w:numPr>
      </w:pPr>
      <w:r>
        <w:t>Overall, f</w:t>
      </w:r>
      <w:r w:rsidRPr="00B968AE">
        <w:t xml:space="preserve">ixed-dose combination atovaquone/proguanil was shown to be efficacious for both prevention and treatment of uncomplicated </w:t>
      </w:r>
      <w:r w:rsidRPr="00ED4259">
        <w:rPr>
          <w:i/>
        </w:rPr>
        <w:t>P</w:t>
      </w:r>
      <w:r w:rsidRPr="00B968AE">
        <w:t xml:space="preserve">. </w:t>
      </w:r>
      <w:r w:rsidRPr="00931AA9">
        <w:rPr>
          <w:i/>
        </w:rPr>
        <w:t>falciparum</w:t>
      </w:r>
      <w:r w:rsidRPr="00B968AE">
        <w:t xml:space="preserve"> malaria, including area</w:t>
      </w:r>
      <w:r w:rsidR="00FD4407">
        <w:t xml:space="preserve">s with chloroquine-resistance.  </w:t>
      </w:r>
      <w:r w:rsidR="006E1334">
        <w:t xml:space="preserve">CDC guidelines provide recommendations for the role of </w:t>
      </w:r>
      <w:r w:rsidR="006E1334" w:rsidRPr="00B968AE">
        <w:t xml:space="preserve">atovaquone/proguanil </w:t>
      </w:r>
      <w:r w:rsidR="006E1334">
        <w:t xml:space="preserve">for prophylaxis and treatment of malaria.  </w:t>
      </w:r>
      <w:r w:rsidRPr="00B968AE">
        <w:t>Prevention of malaria involves a balance between taking antimalarial drug as prescribed and using the appropriate prevention measures. As for treatment of malaria, clinicians should take in consideration of local information on prevalence of resistance to antimalarial drugs by referring to the C</w:t>
      </w:r>
      <w:r w:rsidR="006E1334">
        <w:t>DC treatment guidelines</w:t>
      </w:r>
      <w:r w:rsidRPr="00B968AE">
        <w:t xml:space="preserve">. Dietary fat can increase absorption of atovaquone/proguanil, therefore; it is important to take the medication with food or milk. The most commonly reported adverse events associated with atovaquone/proguanil were headache, abdominal pain, nausea, vomiting, and diarrhea.  Overall, atovaquone/proguanil </w:t>
      </w:r>
      <w:r>
        <w:t xml:space="preserve">should be avoided in travelers with </w:t>
      </w:r>
      <w:r w:rsidRPr="00B968AE">
        <w:t xml:space="preserve">history of severe renal impairment, and pregnant or breastfeeding women.  </w:t>
      </w:r>
    </w:p>
    <w:p w14:paraId="78F9EEF4" w14:textId="77777777" w:rsidR="00537E8D" w:rsidRPr="00B968AE" w:rsidRDefault="00537E8D" w:rsidP="008160D8">
      <w:pPr>
        <w:pStyle w:val="StyleHeading1Black"/>
        <w:rPr>
          <w:rFonts w:ascii="Times New Roman" w:hAnsi="Times New Roman"/>
          <w:szCs w:val="22"/>
        </w:rPr>
      </w:pPr>
      <w:r w:rsidRPr="00B968AE">
        <w:rPr>
          <w:rFonts w:ascii="Times New Roman" w:hAnsi="Times New Roman"/>
          <w:szCs w:val="22"/>
        </w:rPr>
        <w:lastRenderedPageBreak/>
        <w:t>Introduction</w:t>
      </w:r>
    </w:p>
    <w:p w14:paraId="668F6B88" w14:textId="77777777" w:rsidR="00537E8D" w:rsidRPr="00B968AE" w:rsidRDefault="00537E8D">
      <w:pPr>
        <w:rPr>
          <w:szCs w:val="22"/>
        </w:rPr>
      </w:pPr>
      <w:r w:rsidRPr="00B968AE">
        <w:rPr>
          <w:szCs w:val="22"/>
        </w:rPr>
        <w:t xml:space="preserve">The purposes of this monograph are to (1) evaluate the available evidence of safety, tolerability, efficacy, cost, and other pharmaceutical issues that would be relevant to evaluating </w:t>
      </w:r>
      <w:r w:rsidR="002E02A5" w:rsidRPr="00B968AE">
        <w:rPr>
          <w:szCs w:val="22"/>
        </w:rPr>
        <w:t xml:space="preserve">atovaquone/proguanil hydrochloride </w:t>
      </w:r>
      <w:r w:rsidRPr="00B968AE">
        <w:rPr>
          <w:szCs w:val="22"/>
        </w:rPr>
        <w:t>for possible addition to the VA National Formulary; (2) define its role in therapy; and (3) identify parameters for its rational use in the VA.</w:t>
      </w:r>
    </w:p>
    <w:p w14:paraId="271D34D9" w14:textId="77777777" w:rsidR="002B7639" w:rsidRPr="00B968AE" w:rsidRDefault="00537E8D" w:rsidP="002B7639">
      <w:pPr>
        <w:pStyle w:val="StyleHeading1Black"/>
        <w:rPr>
          <w:rFonts w:ascii="Times New Roman" w:hAnsi="Times New Roman"/>
          <w:szCs w:val="22"/>
          <w:u w:val="none"/>
        </w:rPr>
      </w:pPr>
      <w:r w:rsidRPr="00B968AE">
        <w:rPr>
          <w:rFonts w:ascii="Times New Roman" w:hAnsi="Times New Roman"/>
          <w:szCs w:val="22"/>
        </w:rPr>
        <w:t>Pharmacology/Pharmacokinetics</w:t>
      </w:r>
      <w:r w:rsidR="00F876F2" w:rsidRPr="005A506A">
        <w:rPr>
          <w:rFonts w:ascii="Times New Roman" w:hAnsi="Times New Roman"/>
          <w:b w:val="0"/>
          <w:szCs w:val="22"/>
          <w:u w:val="none"/>
          <w:vertAlign w:val="superscript"/>
        </w:rPr>
        <w:t>1</w:t>
      </w:r>
      <w:proofErr w:type="gramStart"/>
      <w:r w:rsidR="00F876F2" w:rsidRPr="005A506A">
        <w:rPr>
          <w:rFonts w:ascii="Times New Roman" w:hAnsi="Times New Roman"/>
          <w:b w:val="0"/>
          <w:szCs w:val="22"/>
          <w:u w:val="none"/>
          <w:vertAlign w:val="superscript"/>
        </w:rPr>
        <w:t>,2</w:t>
      </w:r>
      <w:proofErr w:type="gramEnd"/>
    </w:p>
    <w:p w14:paraId="268126A6" w14:textId="765C511A" w:rsidR="002B7639" w:rsidRPr="00B968AE" w:rsidRDefault="00263128" w:rsidP="002B7639">
      <w:pPr>
        <w:pStyle w:val="StyleHeading1Black"/>
        <w:rPr>
          <w:rFonts w:ascii="Times New Roman" w:hAnsi="Times New Roman"/>
          <w:b w:val="0"/>
          <w:szCs w:val="22"/>
          <w:u w:val="none"/>
        </w:rPr>
      </w:pPr>
      <w:r w:rsidRPr="00B968AE">
        <w:rPr>
          <w:rFonts w:ascii="Times New Roman" w:hAnsi="Times New Roman"/>
          <w:b w:val="0"/>
          <w:szCs w:val="22"/>
          <w:u w:val="none"/>
        </w:rPr>
        <w:t>A</w:t>
      </w:r>
      <w:r w:rsidR="002B7639" w:rsidRPr="00B968AE">
        <w:rPr>
          <w:rFonts w:ascii="Times New Roman" w:hAnsi="Times New Roman"/>
          <w:b w:val="0"/>
          <w:szCs w:val="22"/>
          <w:u w:val="none"/>
        </w:rPr>
        <w:t>tovaq</w:t>
      </w:r>
      <w:r w:rsidRPr="00B968AE">
        <w:rPr>
          <w:rFonts w:ascii="Times New Roman" w:hAnsi="Times New Roman"/>
          <w:b w:val="0"/>
          <w:szCs w:val="22"/>
          <w:u w:val="none"/>
        </w:rPr>
        <w:t xml:space="preserve">uone /proguanil hydrochloride </w:t>
      </w:r>
      <w:r w:rsidR="000270C4" w:rsidRPr="00B968AE">
        <w:rPr>
          <w:rFonts w:ascii="Times New Roman" w:hAnsi="Times New Roman"/>
          <w:b w:val="0"/>
          <w:szCs w:val="22"/>
          <w:u w:val="none"/>
        </w:rPr>
        <w:t xml:space="preserve">is a-fixed dose combination antimalarial drug that is </w:t>
      </w:r>
      <w:r w:rsidR="00AB0DD8" w:rsidRPr="00B968AE">
        <w:rPr>
          <w:rFonts w:ascii="Times New Roman" w:hAnsi="Times New Roman"/>
          <w:b w:val="0"/>
          <w:szCs w:val="22"/>
          <w:u w:val="none"/>
        </w:rPr>
        <w:t xml:space="preserve">active against the </w:t>
      </w:r>
      <w:r w:rsidR="00AF6687">
        <w:rPr>
          <w:rFonts w:ascii="Times New Roman" w:hAnsi="Times New Roman"/>
          <w:b w:val="0"/>
          <w:szCs w:val="22"/>
          <w:u w:val="none"/>
        </w:rPr>
        <w:t>liver and blood stages of</w:t>
      </w:r>
      <w:r w:rsidR="00AB0DD8" w:rsidRPr="00B968AE">
        <w:rPr>
          <w:rFonts w:ascii="Times New Roman" w:hAnsi="Times New Roman"/>
          <w:b w:val="0"/>
          <w:szCs w:val="22"/>
          <w:u w:val="none"/>
        </w:rPr>
        <w:t xml:space="preserve"> </w:t>
      </w:r>
      <w:r w:rsidR="00AB0DD8" w:rsidRPr="00B968AE">
        <w:rPr>
          <w:rFonts w:ascii="Times New Roman" w:hAnsi="Times New Roman"/>
          <w:b w:val="0"/>
          <w:i/>
          <w:szCs w:val="22"/>
          <w:u w:val="none"/>
        </w:rPr>
        <w:t>Plasmodium</w:t>
      </w:r>
      <w:r w:rsidR="0057678B">
        <w:rPr>
          <w:rFonts w:ascii="Times New Roman" w:hAnsi="Times New Roman"/>
          <w:b w:val="0"/>
          <w:szCs w:val="22"/>
          <w:u w:val="none"/>
        </w:rPr>
        <w:t xml:space="preserve"> sp</w:t>
      </w:r>
      <w:r w:rsidR="00AB0DD8" w:rsidRPr="00B968AE">
        <w:rPr>
          <w:rFonts w:ascii="Times New Roman" w:hAnsi="Times New Roman"/>
          <w:b w:val="0"/>
          <w:szCs w:val="22"/>
          <w:u w:val="none"/>
        </w:rPr>
        <w:t>p.</w:t>
      </w:r>
    </w:p>
    <w:p w14:paraId="7F002ECF" w14:textId="17B7B355" w:rsidR="00BD2083" w:rsidRPr="00B968AE" w:rsidRDefault="00054CEE" w:rsidP="002B7639">
      <w:pPr>
        <w:pStyle w:val="StyleHeading1Black"/>
        <w:rPr>
          <w:rFonts w:ascii="Times New Roman" w:hAnsi="Times New Roman"/>
          <w:b w:val="0"/>
          <w:szCs w:val="22"/>
          <w:u w:val="none"/>
        </w:rPr>
      </w:pPr>
      <w:r w:rsidRPr="00B968AE">
        <w:rPr>
          <w:rFonts w:ascii="Times New Roman" w:hAnsi="Times New Roman"/>
          <w:b w:val="0"/>
          <w:szCs w:val="22"/>
          <w:u w:val="none"/>
        </w:rPr>
        <w:t>Atovaquone /proguanil</w:t>
      </w:r>
      <w:r w:rsidR="0057062F" w:rsidRPr="00B968AE">
        <w:rPr>
          <w:rFonts w:ascii="Times New Roman" w:hAnsi="Times New Roman"/>
          <w:b w:val="0"/>
          <w:szCs w:val="22"/>
          <w:u w:val="none"/>
        </w:rPr>
        <w:t xml:space="preserve"> works</w:t>
      </w:r>
      <w:r w:rsidR="00884929" w:rsidRPr="00B968AE">
        <w:rPr>
          <w:rFonts w:ascii="Times New Roman" w:hAnsi="Times New Roman"/>
          <w:b w:val="0"/>
          <w:szCs w:val="22"/>
          <w:u w:val="none"/>
        </w:rPr>
        <w:t xml:space="preserve"> </w:t>
      </w:r>
      <w:r w:rsidR="0040798E" w:rsidRPr="00B968AE">
        <w:rPr>
          <w:rFonts w:ascii="Times New Roman" w:hAnsi="Times New Roman"/>
          <w:b w:val="0"/>
          <w:szCs w:val="22"/>
          <w:u w:val="none"/>
        </w:rPr>
        <w:t xml:space="preserve">in </w:t>
      </w:r>
      <w:r w:rsidR="00884929" w:rsidRPr="00B968AE">
        <w:rPr>
          <w:rFonts w:ascii="Times New Roman" w:hAnsi="Times New Roman"/>
          <w:b w:val="0"/>
          <w:szCs w:val="22"/>
          <w:u w:val="none"/>
        </w:rPr>
        <w:t xml:space="preserve">2 different pathways to interfere with </w:t>
      </w:r>
      <w:r w:rsidR="00584318" w:rsidRPr="00B968AE">
        <w:rPr>
          <w:rFonts w:ascii="Times New Roman" w:hAnsi="Times New Roman"/>
          <w:b w:val="0"/>
          <w:szCs w:val="22"/>
          <w:u w:val="none"/>
        </w:rPr>
        <w:t>pyrimidine</w:t>
      </w:r>
      <w:r w:rsidR="00884929" w:rsidRPr="00B968AE">
        <w:rPr>
          <w:rFonts w:ascii="Times New Roman" w:hAnsi="Times New Roman"/>
          <w:b w:val="0"/>
          <w:szCs w:val="22"/>
          <w:u w:val="none"/>
        </w:rPr>
        <w:t xml:space="preserve"> synthesis that is required</w:t>
      </w:r>
      <w:r w:rsidR="006321A0" w:rsidRPr="00B968AE">
        <w:rPr>
          <w:rFonts w:ascii="Times New Roman" w:hAnsi="Times New Roman"/>
          <w:b w:val="0"/>
          <w:szCs w:val="22"/>
          <w:u w:val="none"/>
        </w:rPr>
        <w:t xml:space="preserve"> for</w:t>
      </w:r>
      <w:r w:rsidR="00884929" w:rsidRPr="00B968AE">
        <w:rPr>
          <w:rFonts w:ascii="Times New Roman" w:hAnsi="Times New Roman"/>
          <w:b w:val="0"/>
          <w:szCs w:val="22"/>
          <w:u w:val="none"/>
        </w:rPr>
        <w:t xml:space="preserve"> DNA replication. Atovaquone </w:t>
      </w:r>
      <w:r w:rsidR="0040798E" w:rsidRPr="00B968AE">
        <w:rPr>
          <w:rFonts w:ascii="Times New Roman" w:hAnsi="Times New Roman"/>
          <w:b w:val="0"/>
          <w:szCs w:val="22"/>
          <w:u w:val="none"/>
        </w:rPr>
        <w:t xml:space="preserve">is </w:t>
      </w:r>
      <w:r w:rsidR="00884929" w:rsidRPr="00B968AE">
        <w:rPr>
          <w:rFonts w:ascii="Times New Roman" w:hAnsi="Times New Roman"/>
          <w:b w:val="0"/>
          <w:szCs w:val="22"/>
          <w:u w:val="none"/>
        </w:rPr>
        <w:t>a selective inhibitor of parasite mitochondrial ele</w:t>
      </w:r>
      <w:r w:rsidR="00513C6A" w:rsidRPr="00B968AE">
        <w:rPr>
          <w:rFonts w:ascii="Times New Roman" w:hAnsi="Times New Roman"/>
          <w:b w:val="0"/>
          <w:szCs w:val="22"/>
          <w:u w:val="none"/>
        </w:rPr>
        <w:t>ctron transport</w:t>
      </w:r>
      <w:r w:rsidR="00BD1527" w:rsidRPr="00B968AE">
        <w:rPr>
          <w:rFonts w:ascii="Times New Roman" w:hAnsi="Times New Roman"/>
          <w:b w:val="0"/>
          <w:szCs w:val="22"/>
          <w:u w:val="none"/>
        </w:rPr>
        <w:t xml:space="preserve"> at the level of </w:t>
      </w:r>
      <w:r w:rsidR="00BD1527" w:rsidRPr="000875E8">
        <w:rPr>
          <w:rFonts w:ascii="Times New Roman" w:hAnsi="Times New Roman"/>
          <w:b w:val="0"/>
          <w:szCs w:val="22"/>
          <w:u w:val="none"/>
        </w:rPr>
        <w:t>cytochrome</w:t>
      </w:r>
      <w:r w:rsidR="000875E8" w:rsidRPr="000875E8">
        <w:rPr>
          <w:rFonts w:ascii="Times New Roman" w:hAnsi="Times New Roman"/>
          <w:b w:val="0"/>
          <w:szCs w:val="22"/>
          <w:u w:val="none"/>
        </w:rPr>
        <w:t xml:space="preserve"> </w:t>
      </w:r>
      <w:proofErr w:type="spellStart"/>
      <w:proofErr w:type="gramStart"/>
      <w:r w:rsidR="00BD1527" w:rsidRPr="000875E8">
        <w:rPr>
          <w:rFonts w:ascii="Times New Roman" w:hAnsi="Times New Roman"/>
          <w:b w:val="0"/>
          <w:szCs w:val="22"/>
          <w:u w:val="none"/>
        </w:rPr>
        <w:t>bc</w:t>
      </w:r>
      <w:proofErr w:type="spellEnd"/>
      <w:r w:rsidR="000875E8">
        <w:rPr>
          <w:rFonts w:ascii="Times New Roman" w:hAnsi="Times New Roman"/>
          <w:b w:val="0"/>
          <w:szCs w:val="22"/>
          <w:u w:val="none"/>
        </w:rPr>
        <w:t>(</w:t>
      </w:r>
      <w:proofErr w:type="gramEnd"/>
      <w:r w:rsidR="00BD1527" w:rsidRPr="000875E8">
        <w:rPr>
          <w:rFonts w:ascii="Times New Roman" w:hAnsi="Times New Roman"/>
          <w:b w:val="0"/>
          <w:szCs w:val="22"/>
          <w:u w:val="none"/>
        </w:rPr>
        <w:t>1</w:t>
      </w:r>
      <w:r w:rsidR="000875E8">
        <w:rPr>
          <w:rFonts w:ascii="Times New Roman" w:hAnsi="Times New Roman"/>
          <w:b w:val="0"/>
          <w:szCs w:val="22"/>
          <w:u w:val="none"/>
        </w:rPr>
        <w:t>)</w:t>
      </w:r>
      <w:r w:rsidR="00BD1527" w:rsidRPr="00B968AE">
        <w:rPr>
          <w:rFonts w:ascii="Times New Roman" w:hAnsi="Times New Roman"/>
          <w:b w:val="0"/>
          <w:szCs w:val="22"/>
          <w:u w:val="none"/>
        </w:rPr>
        <w:t xml:space="preserve"> complex and collapses </w:t>
      </w:r>
      <w:r w:rsidR="00584318" w:rsidRPr="00B968AE">
        <w:rPr>
          <w:rFonts w:ascii="Times New Roman" w:hAnsi="Times New Roman"/>
          <w:b w:val="0"/>
          <w:szCs w:val="22"/>
          <w:u w:val="none"/>
        </w:rPr>
        <w:t>mitochondrial</w:t>
      </w:r>
      <w:r w:rsidR="00BD1527" w:rsidRPr="00B968AE">
        <w:rPr>
          <w:rFonts w:ascii="Times New Roman" w:hAnsi="Times New Roman"/>
          <w:b w:val="0"/>
          <w:szCs w:val="22"/>
          <w:u w:val="none"/>
        </w:rPr>
        <w:t xml:space="preserve"> membrane potential</w:t>
      </w:r>
      <w:r w:rsidR="00513C6A" w:rsidRPr="00B968AE">
        <w:rPr>
          <w:rFonts w:ascii="Times New Roman" w:hAnsi="Times New Roman"/>
          <w:b w:val="0"/>
          <w:szCs w:val="22"/>
          <w:u w:val="none"/>
        </w:rPr>
        <w:t>.</w:t>
      </w:r>
      <w:r w:rsidR="00BD1527" w:rsidRPr="00B968AE">
        <w:rPr>
          <w:rFonts w:ascii="Times New Roman" w:hAnsi="Times New Roman"/>
          <w:b w:val="0"/>
          <w:szCs w:val="22"/>
          <w:u w:val="none"/>
        </w:rPr>
        <w:t xml:space="preserve"> Atovaquone selectively acts on parasite electron transport because of the 1000 fold greater sensitivity of this system to atovaquone over the mammalian electron transport chain.</w:t>
      </w:r>
      <w:r w:rsidR="0057678B">
        <w:rPr>
          <w:rFonts w:ascii="Times New Roman" w:hAnsi="Times New Roman"/>
          <w:b w:val="0"/>
          <w:szCs w:val="22"/>
          <w:u w:val="none"/>
        </w:rPr>
        <w:t xml:space="preserve"> </w:t>
      </w:r>
      <w:proofErr w:type="spellStart"/>
      <w:r w:rsidR="0057678B">
        <w:rPr>
          <w:rFonts w:ascii="Times New Roman" w:hAnsi="Times New Roman"/>
          <w:b w:val="0"/>
          <w:szCs w:val="22"/>
          <w:u w:val="none"/>
        </w:rPr>
        <w:t>P</w:t>
      </w:r>
      <w:r w:rsidR="00513C6A" w:rsidRPr="00B968AE">
        <w:rPr>
          <w:rFonts w:ascii="Times New Roman" w:hAnsi="Times New Roman"/>
          <w:b w:val="0"/>
          <w:szCs w:val="22"/>
          <w:u w:val="none"/>
        </w:rPr>
        <w:t>roguanil</w:t>
      </w:r>
      <w:proofErr w:type="spellEnd"/>
      <w:r w:rsidR="00513C6A" w:rsidRPr="00B968AE">
        <w:rPr>
          <w:rFonts w:ascii="Times New Roman" w:hAnsi="Times New Roman"/>
          <w:b w:val="0"/>
          <w:szCs w:val="22"/>
          <w:u w:val="none"/>
        </w:rPr>
        <w:t xml:space="preserve"> </w:t>
      </w:r>
      <w:proofErr w:type="spellStart"/>
      <w:r w:rsidR="00513C6A" w:rsidRPr="00B968AE">
        <w:rPr>
          <w:rFonts w:ascii="Times New Roman" w:hAnsi="Times New Roman"/>
          <w:b w:val="0"/>
          <w:szCs w:val="22"/>
          <w:u w:val="none"/>
        </w:rPr>
        <w:t>HCl</w:t>
      </w:r>
      <w:proofErr w:type="spellEnd"/>
      <w:r w:rsidR="00513C6A" w:rsidRPr="00B968AE">
        <w:rPr>
          <w:rFonts w:ascii="Times New Roman" w:hAnsi="Times New Roman"/>
          <w:b w:val="0"/>
          <w:szCs w:val="22"/>
          <w:u w:val="none"/>
        </w:rPr>
        <w:t xml:space="preserve"> </w:t>
      </w:r>
      <w:r w:rsidR="000179C7" w:rsidRPr="00B968AE">
        <w:rPr>
          <w:rFonts w:ascii="Times New Roman" w:hAnsi="Times New Roman"/>
          <w:b w:val="0"/>
          <w:szCs w:val="22"/>
          <w:u w:val="none"/>
        </w:rPr>
        <w:t xml:space="preserve">primarily exerts its effect by means of the metabolite </w:t>
      </w:r>
      <w:proofErr w:type="spellStart"/>
      <w:r w:rsidR="000179C7" w:rsidRPr="00B968AE">
        <w:rPr>
          <w:rFonts w:ascii="Times New Roman" w:hAnsi="Times New Roman"/>
          <w:b w:val="0"/>
          <w:szCs w:val="22"/>
          <w:u w:val="none"/>
        </w:rPr>
        <w:t>cycloguanil</w:t>
      </w:r>
      <w:proofErr w:type="spellEnd"/>
      <w:r w:rsidR="000179C7" w:rsidRPr="00B968AE">
        <w:rPr>
          <w:rFonts w:ascii="Times New Roman" w:hAnsi="Times New Roman"/>
          <w:b w:val="0"/>
          <w:szCs w:val="22"/>
          <w:u w:val="none"/>
        </w:rPr>
        <w:t xml:space="preserve"> whi</w:t>
      </w:r>
      <w:r w:rsidR="00932B9C" w:rsidRPr="00B968AE">
        <w:rPr>
          <w:rFonts w:ascii="Times New Roman" w:hAnsi="Times New Roman"/>
          <w:b w:val="0"/>
          <w:szCs w:val="22"/>
          <w:u w:val="none"/>
        </w:rPr>
        <w:t xml:space="preserve">ch inhibits </w:t>
      </w:r>
      <w:proofErr w:type="spellStart"/>
      <w:r w:rsidR="00932B9C" w:rsidRPr="00B968AE">
        <w:rPr>
          <w:rFonts w:ascii="Times New Roman" w:hAnsi="Times New Roman"/>
          <w:b w:val="0"/>
          <w:szCs w:val="22"/>
          <w:u w:val="none"/>
        </w:rPr>
        <w:t>dihydrofolate</w:t>
      </w:r>
      <w:proofErr w:type="spellEnd"/>
      <w:r w:rsidR="00932B9C" w:rsidRPr="00B968AE">
        <w:rPr>
          <w:rFonts w:ascii="Times New Roman" w:hAnsi="Times New Roman"/>
          <w:b w:val="0"/>
          <w:szCs w:val="22"/>
          <w:u w:val="none"/>
        </w:rPr>
        <w:t xml:space="preserve"> reduct</w:t>
      </w:r>
      <w:r w:rsidR="000179C7" w:rsidRPr="00B968AE">
        <w:rPr>
          <w:rFonts w:ascii="Times New Roman" w:hAnsi="Times New Roman"/>
          <w:b w:val="0"/>
          <w:szCs w:val="22"/>
          <w:u w:val="none"/>
        </w:rPr>
        <w:t xml:space="preserve">ase </w:t>
      </w:r>
      <w:r w:rsidR="00832A51" w:rsidRPr="00B968AE">
        <w:rPr>
          <w:rFonts w:ascii="Times New Roman" w:hAnsi="Times New Roman"/>
          <w:b w:val="0"/>
          <w:szCs w:val="22"/>
          <w:u w:val="none"/>
        </w:rPr>
        <w:t xml:space="preserve">(DHFR) </w:t>
      </w:r>
      <w:r w:rsidR="000179C7" w:rsidRPr="00B968AE">
        <w:rPr>
          <w:rFonts w:ascii="Times New Roman" w:hAnsi="Times New Roman"/>
          <w:b w:val="0"/>
          <w:szCs w:val="22"/>
          <w:u w:val="none"/>
        </w:rPr>
        <w:t xml:space="preserve">in the malaria parasite and disrupts </w:t>
      </w:r>
      <w:proofErr w:type="spellStart"/>
      <w:r w:rsidR="000179C7" w:rsidRPr="00B968AE">
        <w:rPr>
          <w:rFonts w:ascii="Times New Roman" w:hAnsi="Times New Roman"/>
          <w:b w:val="0"/>
          <w:szCs w:val="22"/>
          <w:u w:val="none"/>
        </w:rPr>
        <w:t>deoxythymidylate</w:t>
      </w:r>
      <w:proofErr w:type="spellEnd"/>
      <w:r w:rsidR="000179C7" w:rsidRPr="00B968AE">
        <w:rPr>
          <w:rFonts w:ascii="Times New Roman" w:hAnsi="Times New Roman"/>
          <w:b w:val="0"/>
          <w:szCs w:val="22"/>
          <w:u w:val="none"/>
        </w:rPr>
        <w:t xml:space="preserve"> synthesis. </w:t>
      </w:r>
    </w:p>
    <w:p w14:paraId="2E344D44" w14:textId="73787E01" w:rsidR="00217C6C" w:rsidRPr="00B968AE" w:rsidRDefault="00217C6C" w:rsidP="002B7639">
      <w:pPr>
        <w:pStyle w:val="StyleHeading1Black"/>
        <w:rPr>
          <w:rFonts w:ascii="Times New Roman" w:hAnsi="Times New Roman"/>
          <w:b w:val="0"/>
          <w:szCs w:val="22"/>
          <w:u w:val="none"/>
        </w:rPr>
      </w:pPr>
      <w:r w:rsidRPr="00B968AE">
        <w:rPr>
          <w:rFonts w:ascii="Times New Roman" w:hAnsi="Times New Roman"/>
          <w:b w:val="0"/>
          <w:szCs w:val="22"/>
          <w:u w:val="none"/>
        </w:rPr>
        <w:t>The manufacturer has stated that the combination of 2 dru</w:t>
      </w:r>
      <w:r w:rsidR="00C2561E" w:rsidRPr="00B968AE">
        <w:rPr>
          <w:rFonts w:ascii="Times New Roman" w:hAnsi="Times New Roman"/>
          <w:b w:val="0"/>
          <w:szCs w:val="22"/>
          <w:u w:val="none"/>
        </w:rPr>
        <w:t>g</w:t>
      </w:r>
      <w:r w:rsidRPr="00B968AE">
        <w:rPr>
          <w:rFonts w:ascii="Times New Roman" w:hAnsi="Times New Roman"/>
          <w:b w:val="0"/>
          <w:szCs w:val="22"/>
          <w:u w:val="none"/>
        </w:rPr>
        <w:t xml:space="preserve">s with different mechanisms of actions is less likely to induce resistance. </w:t>
      </w:r>
      <w:r w:rsidR="001E22E3" w:rsidRPr="00B968AE">
        <w:rPr>
          <w:rFonts w:ascii="Times New Roman" w:hAnsi="Times New Roman"/>
          <w:b w:val="0"/>
          <w:szCs w:val="22"/>
          <w:u w:val="none"/>
        </w:rPr>
        <w:t>In addition, both in</w:t>
      </w:r>
      <w:r w:rsidR="00054CEE" w:rsidRPr="00B968AE">
        <w:rPr>
          <w:rFonts w:ascii="Times New Roman" w:hAnsi="Times New Roman"/>
          <w:b w:val="0"/>
          <w:szCs w:val="22"/>
          <w:u w:val="none"/>
        </w:rPr>
        <w:t xml:space="preserve"> </w:t>
      </w:r>
      <w:r w:rsidR="001E22E3" w:rsidRPr="00B968AE">
        <w:rPr>
          <w:rFonts w:ascii="Times New Roman" w:hAnsi="Times New Roman"/>
          <w:b w:val="0"/>
          <w:szCs w:val="22"/>
          <w:u w:val="none"/>
        </w:rPr>
        <w:t>vitro and in vivo studies have revealed the synergistic antimalarial actio</w:t>
      </w:r>
      <w:r w:rsidR="00054CEE" w:rsidRPr="00B968AE">
        <w:rPr>
          <w:rFonts w:ascii="Times New Roman" w:hAnsi="Times New Roman"/>
          <w:b w:val="0"/>
          <w:szCs w:val="22"/>
          <w:u w:val="none"/>
        </w:rPr>
        <w:t>n of atovaquone and proguanil</w:t>
      </w:r>
      <w:r w:rsidR="0016643D">
        <w:rPr>
          <w:rFonts w:ascii="Times New Roman" w:hAnsi="Times New Roman"/>
          <w:b w:val="0"/>
          <w:szCs w:val="22"/>
          <w:u w:val="none"/>
        </w:rPr>
        <w:t>.</w:t>
      </w:r>
    </w:p>
    <w:p w14:paraId="2784FEF9" w14:textId="77777777" w:rsidR="00537E8D" w:rsidRPr="00B968AE" w:rsidRDefault="00A904A8">
      <w:pPr>
        <w:pStyle w:val="Caption"/>
        <w:rPr>
          <w:rFonts w:ascii="Times New Roman" w:hAnsi="Times New Roman"/>
          <w:sz w:val="22"/>
          <w:szCs w:val="22"/>
        </w:rPr>
      </w:pPr>
      <w:r w:rsidRPr="00B968AE">
        <w:rPr>
          <w:rFonts w:ascii="Times New Roman" w:hAnsi="Times New Roman"/>
          <w:sz w:val="22"/>
          <w:szCs w:val="22"/>
        </w:rPr>
        <w:t>Table 1: Pharmacokinetic Comparison of Malaria Prophylaxis agents</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550"/>
        <w:gridCol w:w="1744"/>
        <w:gridCol w:w="1454"/>
        <w:gridCol w:w="1454"/>
        <w:gridCol w:w="1647"/>
      </w:tblGrid>
      <w:tr w:rsidR="00746232" w:rsidRPr="00B968AE" w14:paraId="49B52880" w14:textId="77777777" w:rsidTr="00FA0674">
        <w:trPr>
          <w:trHeight w:val="512"/>
        </w:trPr>
        <w:tc>
          <w:tcPr>
            <w:tcW w:w="1667" w:type="dxa"/>
            <w:shd w:val="clear" w:color="auto" w:fill="auto"/>
          </w:tcPr>
          <w:p w14:paraId="3436650F" w14:textId="77777777" w:rsidR="00746232" w:rsidRPr="00B968AE" w:rsidRDefault="00746232">
            <w:pPr>
              <w:pStyle w:val="Table"/>
              <w:rPr>
                <w:rFonts w:ascii="Times New Roman" w:hAnsi="Times New Roman"/>
                <w:b/>
                <w:bCs/>
                <w:sz w:val="22"/>
                <w:szCs w:val="22"/>
              </w:rPr>
            </w:pPr>
            <w:r w:rsidRPr="00B968AE">
              <w:rPr>
                <w:rFonts w:ascii="Times New Roman" w:hAnsi="Times New Roman"/>
                <w:b/>
                <w:bCs/>
                <w:sz w:val="22"/>
                <w:szCs w:val="22"/>
              </w:rPr>
              <w:t>Parameter</w:t>
            </w:r>
          </w:p>
        </w:tc>
        <w:tc>
          <w:tcPr>
            <w:tcW w:w="1550" w:type="dxa"/>
            <w:shd w:val="clear" w:color="auto" w:fill="auto"/>
          </w:tcPr>
          <w:p w14:paraId="25CFB8AF" w14:textId="724AF307" w:rsidR="00746232" w:rsidRPr="00B968AE" w:rsidRDefault="00E04A87">
            <w:pPr>
              <w:pStyle w:val="Table"/>
              <w:rPr>
                <w:rFonts w:ascii="Times New Roman" w:hAnsi="Times New Roman"/>
                <w:b/>
                <w:sz w:val="22"/>
                <w:szCs w:val="22"/>
              </w:rPr>
            </w:pPr>
            <w:r w:rsidRPr="00B968AE">
              <w:rPr>
                <w:rFonts w:ascii="Times New Roman" w:hAnsi="Times New Roman"/>
                <w:b/>
                <w:sz w:val="22"/>
                <w:szCs w:val="22"/>
              </w:rPr>
              <w:t>Atovaquone/proguanil</w:t>
            </w:r>
          </w:p>
        </w:tc>
        <w:tc>
          <w:tcPr>
            <w:tcW w:w="1744" w:type="dxa"/>
            <w:shd w:val="clear" w:color="auto" w:fill="auto"/>
          </w:tcPr>
          <w:p w14:paraId="2CECC8F3" w14:textId="35D546F4" w:rsidR="00746232" w:rsidRPr="00B968AE" w:rsidRDefault="00746232">
            <w:pPr>
              <w:pStyle w:val="Table"/>
              <w:rPr>
                <w:rFonts w:ascii="Times New Roman" w:hAnsi="Times New Roman"/>
                <w:b/>
                <w:sz w:val="22"/>
                <w:szCs w:val="22"/>
              </w:rPr>
            </w:pPr>
            <w:r w:rsidRPr="00B968AE">
              <w:rPr>
                <w:rFonts w:ascii="Times New Roman" w:hAnsi="Times New Roman"/>
                <w:b/>
                <w:sz w:val="22"/>
                <w:szCs w:val="22"/>
              </w:rPr>
              <w:t>Chl</w:t>
            </w:r>
            <w:r w:rsidR="00065979" w:rsidRPr="00B968AE">
              <w:rPr>
                <w:rFonts w:ascii="Times New Roman" w:hAnsi="Times New Roman"/>
                <w:b/>
                <w:sz w:val="22"/>
                <w:szCs w:val="22"/>
              </w:rPr>
              <w:t>o</w:t>
            </w:r>
            <w:r w:rsidRPr="00B968AE">
              <w:rPr>
                <w:rFonts w:ascii="Times New Roman" w:hAnsi="Times New Roman"/>
                <w:b/>
                <w:sz w:val="22"/>
                <w:szCs w:val="22"/>
              </w:rPr>
              <w:t>roquine</w:t>
            </w:r>
          </w:p>
        </w:tc>
        <w:tc>
          <w:tcPr>
            <w:tcW w:w="1454" w:type="dxa"/>
            <w:shd w:val="clear" w:color="auto" w:fill="auto"/>
          </w:tcPr>
          <w:p w14:paraId="12E5CEAC" w14:textId="77777777" w:rsidR="00746232" w:rsidRPr="00B968AE" w:rsidRDefault="00746232">
            <w:pPr>
              <w:pStyle w:val="Table"/>
              <w:rPr>
                <w:rFonts w:ascii="Times New Roman" w:hAnsi="Times New Roman"/>
                <w:b/>
                <w:sz w:val="22"/>
                <w:szCs w:val="22"/>
              </w:rPr>
            </w:pPr>
            <w:proofErr w:type="spellStart"/>
            <w:r w:rsidRPr="00B968AE">
              <w:rPr>
                <w:rFonts w:ascii="Times New Roman" w:hAnsi="Times New Roman"/>
                <w:b/>
                <w:sz w:val="22"/>
                <w:szCs w:val="22"/>
              </w:rPr>
              <w:t>Primaquine</w:t>
            </w:r>
            <w:proofErr w:type="spellEnd"/>
          </w:p>
        </w:tc>
        <w:tc>
          <w:tcPr>
            <w:tcW w:w="1454" w:type="dxa"/>
            <w:shd w:val="clear" w:color="auto" w:fill="auto"/>
          </w:tcPr>
          <w:p w14:paraId="15365F66" w14:textId="77777777" w:rsidR="00746232" w:rsidRPr="00B968AE" w:rsidRDefault="000B4D40">
            <w:pPr>
              <w:pStyle w:val="Table"/>
              <w:rPr>
                <w:rFonts w:ascii="Times New Roman" w:hAnsi="Times New Roman"/>
                <w:b/>
                <w:sz w:val="22"/>
                <w:szCs w:val="22"/>
              </w:rPr>
            </w:pPr>
            <w:r w:rsidRPr="00B968AE">
              <w:rPr>
                <w:rFonts w:ascii="Times New Roman" w:hAnsi="Times New Roman"/>
                <w:b/>
                <w:sz w:val="22"/>
                <w:szCs w:val="22"/>
              </w:rPr>
              <w:t>Mefloquine</w:t>
            </w:r>
          </w:p>
        </w:tc>
        <w:tc>
          <w:tcPr>
            <w:tcW w:w="1647" w:type="dxa"/>
            <w:shd w:val="clear" w:color="auto" w:fill="auto"/>
          </w:tcPr>
          <w:p w14:paraId="61F68765" w14:textId="77777777" w:rsidR="00746232" w:rsidRPr="00B968AE" w:rsidRDefault="000B4D40">
            <w:pPr>
              <w:pStyle w:val="Table"/>
              <w:rPr>
                <w:rFonts w:ascii="Times New Roman" w:hAnsi="Times New Roman"/>
                <w:b/>
                <w:sz w:val="22"/>
                <w:szCs w:val="22"/>
              </w:rPr>
            </w:pPr>
            <w:r w:rsidRPr="00B968AE">
              <w:rPr>
                <w:rFonts w:ascii="Times New Roman" w:hAnsi="Times New Roman"/>
                <w:b/>
                <w:sz w:val="22"/>
                <w:szCs w:val="22"/>
              </w:rPr>
              <w:t>Doxycycline</w:t>
            </w:r>
          </w:p>
        </w:tc>
      </w:tr>
      <w:tr w:rsidR="00746232" w:rsidRPr="00B968AE" w14:paraId="6EC4F217" w14:textId="77777777" w:rsidTr="00FA0674">
        <w:trPr>
          <w:trHeight w:val="200"/>
        </w:trPr>
        <w:tc>
          <w:tcPr>
            <w:tcW w:w="1667" w:type="dxa"/>
            <w:shd w:val="clear" w:color="auto" w:fill="auto"/>
          </w:tcPr>
          <w:p w14:paraId="45DF852D" w14:textId="77777777" w:rsidR="00746232" w:rsidRPr="00B968AE" w:rsidRDefault="00746232">
            <w:pPr>
              <w:pStyle w:val="Table"/>
              <w:rPr>
                <w:rFonts w:ascii="Times New Roman" w:hAnsi="Times New Roman"/>
                <w:sz w:val="22"/>
                <w:szCs w:val="22"/>
              </w:rPr>
            </w:pPr>
            <w:r w:rsidRPr="00B968AE">
              <w:rPr>
                <w:rFonts w:ascii="Times New Roman" w:hAnsi="Times New Roman"/>
                <w:sz w:val="22"/>
                <w:szCs w:val="22"/>
              </w:rPr>
              <w:t>Metabolism</w:t>
            </w:r>
          </w:p>
        </w:tc>
        <w:tc>
          <w:tcPr>
            <w:tcW w:w="1550" w:type="dxa"/>
            <w:shd w:val="clear" w:color="auto" w:fill="auto"/>
          </w:tcPr>
          <w:p w14:paraId="2B04DE8C" w14:textId="295F59E9" w:rsidR="00746232" w:rsidRPr="00B968AE" w:rsidRDefault="000021E9">
            <w:pPr>
              <w:pStyle w:val="Table"/>
              <w:rPr>
                <w:rFonts w:ascii="Times New Roman" w:hAnsi="Times New Roman"/>
                <w:sz w:val="22"/>
                <w:szCs w:val="22"/>
              </w:rPr>
            </w:pPr>
            <w:proofErr w:type="spellStart"/>
            <w:r>
              <w:rPr>
                <w:rFonts w:ascii="Times New Roman" w:hAnsi="Times New Roman"/>
                <w:sz w:val="22"/>
                <w:szCs w:val="22"/>
              </w:rPr>
              <w:t>enterohepatic</w:t>
            </w:r>
            <w:proofErr w:type="spellEnd"/>
            <w:r>
              <w:rPr>
                <w:rFonts w:ascii="Times New Roman" w:hAnsi="Times New Roman"/>
                <w:sz w:val="22"/>
                <w:szCs w:val="22"/>
              </w:rPr>
              <w:t>/</w:t>
            </w:r>
            <w:r w:rsidR="007724F1" w:rsidRPr="00B968AE">
              <w:rPr>
                <w:rFonts w:ascii="Times New Roman" w:hAnsi="Times New Roman"/>
                <w:sz w:val="22"/>
                <w:szCs w:val="22"/>
              </w:rPr>
              <w:t>CYP2C19</w:t>
            </w:r>
            <w:r w:rsidRPr="00B968AE">
              <w:rPr>
                <w:rFonts w:ascii="Times New Roman" w:hAnsi="Times New Roman"/>
                <w:sz w:val="22"/>
                <w:szCs w:val="22"/>
                <w:vertAlign w:val="superscript"/>
              </w:rPr>
              <w:t>a</w:t>
            </w:r>
          </w:p>
        </w:tc>
        <w:tc>
          <w:tcPr>
            <w:tcW w:w="1744" w:type="dxa"/>
            <w:shd w:val="clear" w:color="auto" w:fill="auto"/>
          </w:tcPr>
          <w:p w14:paraId="74DA7A79" w14:textId="43A21B40" w:rsidR="00746232" w:rsidRPr="00B968AE" w:rsidRDefault="00D622B2">
            <w:pPr>
              <w:pStyle w:val="Table"/>
              <w:rPr>
                <w:rFonts w:ascii="Times New Roman" w:hAnsi="Times New Roman"/>
                <w:sz w:val="22"/>
                <w:szCs w:val="22"/>
              </w:rPr>
            </w:pPr>
            <w:r w:rsidRPr="00B968AE">
              <w:rPr>
                <w:rFonts w:ascii="Times New Roman" w:hAnsi="Times New Roman"/>
                <w:sz w:val="22"/>
                <w:szCs w:val="22"/>
              </w:rPr>
              <w:t>Partially hepatic</w:t>
            </w:r>
            <w:r w:rsidR="000021E9" w:rsidRPr="00B968AE">
              <w:rPr>
                <w:rFonts w:ascii="Times New Roman" w:hAnsi="Times New Roman"/>
                <w:sz w:val="22"/>
                <w:szCs w:val="22"/>
                <w:vertAlign w:val="superscript"/>
              </w:rPr>
              <w:t xml:space="preserve"> b</w:t>
            </w:r>
            <w:r w:rsidRPr="00B968AE">
              <w:rPr>
                <w:rFonts w:ascii="Times New Roman" w:hAnsi="Times New Roman"/>
                <w:sz w:val="22"/>
                <w:szCs w:val="22"/>
              </w:rPr>
              <w:t xml:space="preserve"> </w:t>
            </w:r>
          </w:p>
        </w:tc>
        <w:tc>
          <w:tcPr>
            <w:tcW w:w="1454" w:type="dxa"/>
            <w:shd w:val="clear" w:color="auto" w:fill="auto"/>
          </w:tcPr>
          <w:p w14:paraId="7C995715" w14:textId="77777777" w:rsidR="00746232" w:rsidRPr="00B968AE" w:rsidRDefault="00ED411B">
            <w:pPr>
              <w:pStyle w:val="Table"/>
              <w:rPr>
                <w:rFonts w:ascii="Times New Roman" w:hAnsi="Times New Roman"/>
                <w:sz w:val="22"/>
                <w:szCs w:val="22"/>
              </w:rPr>
            </w:pPr>
            <w:r w:rsidRPr="00B968AE">
              <w:rPr>
                <w:rFonts w:ascii="Times New Roman" w:hAnsi="Times New Roman"/>
                <w:sz w:val="22"/>
                <w:szCs w:val="22"/>
              </w:rPr>
              <w:t>hepatic</w:t>
            </w:r>
          </w:p>
        </w:tc>
        <w:tc>
          <w:tcPr>
            <w:tcW w:w="1454" w:type="dxa"/>
            <w:shd w:val="clear" w:color="auto" w:fill="auto"/>
          </w:tcPr>
          <w:p w14:paraId="21AECCD2" w14:textId="5DA6E5AB" w:rsidR="008A2983" w:rsidRPr="00B968AE" w:rsidRDefault="000021E9">
            <w:pPr>
              <w:pStyle w:val="Table"/>
              <w:rPr>
                <w:rFonts w:ascii="Times New Roman" w:hAnsi="Times New Roman"/>
                <w:sz w:val="22"/>
                <w:szCs w:val="22"/>
              </w:rPr>
            </w:pPr>
            <w:r>
              <w:rPr>
                <w:rFonts w:ascii="Times New Roman" w:hAnsi="Times New Roman"/>
                <w:sz w:val="22"/>
                <w:szCs w:val="22"/>
              </w:rPr>
              <w:t>h</w:t>
            </w:r>
            <w:r w:rsidR="008A2983" w:rsidRPr="00B968AE">
              <w:rPr>
                <w:rFonts w:ascii="Times New Roman" w:hAnsi="Times New Roman"/>
                <w:sz w:val="22"/>
                <w:szCs w:val="22"/>
              </w:rPr>
              <w:t>epatic</w:t>
            </w:r>
          </w:p>
          <w:p w14:paraId="49F4686F" w14:textId="77777777" w:rsidR="00746232" w:rsidRPr="00B968AE" w:rsidRDefault="008A2983">
            <w:pPr>
              <w:pStyle w:val="Table"/>
              <w:rPr>
                <w:rFonts w:ascii="Times New Roman" w:hAnsi="Times New Roman"/>
                <w:sz w:val="22"/>
                <w:szCs w:val="22"/>
              </w:rPr>
            </w:pPr>
            <w:r w:rsidRPr="00B968AE">
              <w:rPr>
                <w:rFonts w:ascii="Times New Roman" w:hAnsi="Times New Roman"/>
                <w:sz w:val="22"/>
                <w:szCs w:val="22"/>
              </w:rPr>
              <w:t>CYP 3A4</w:t>
            </w:r>
          </w:p>
        </w:tc>
        <w:tc>
          <w:tcPr>
            <w:tcW w:w="1647" w:type="dxa"/>
            <w:shd w:val="clear" w:color="auto" w:fill="auto"/>
          </w:tcPr>
          <w:p w14:paraId="4057437D" w14:textId="40477C4F" w:rsidR="00746232" w:rsidRPr="00B968AE" w:rsidRDefault="000021E9">
            <w:pPr>
              <w:pStyle w:val="Table"/>
              <w:rPr>
                <w:rFonts w:ascii="Times New Roman" w:hAnsi="Times New Roman"/>
                <w:sz w:val="22"/>
                <w:szCs w:val="22"/>
              </w:rPr>
            </w:pPr>
            <w:r>
              <w:rPr>
                <w:rFonts w:ascii="Times New Roman" w:hAnsi="Times New Roman"/>
                <w:sz w:val="22"/>
                <w:szCs w:val="22"/>
              </w:rPr>
              <w:t>n</w:t>
            </w:r>
            <w:r w:rsidR="008A2983" w:rsidRPr="00B968AE">
              <w:rPr>
                <w:rFonts w:ascii="Times New Roman" w:hAnsi="Times New Roman"/>
                <w:sz w:val="22"/>
                <w:szCs w:val="22"/>
              </w:rPr>
              <w:t>ot hepatic, GI chelation</w:t>
            </w:r>
          </w:p>
        </w:tc>
      </w:tr>
      <w:tr w:rsidR="00746232" w:rsidRPr="00B968AE" w14:paraId="73C5FEA8" w14:textId="77777777" w:rsidTr="00FA0674">
        <w:trPr>
          <w:trHeight w:val="228"/>
        </w:trPr>
        <w:tc>
          <w:tcPr>
            <w:tcW w:w="1667" w:type="dxa"/>
            <w:shd w:val="clear" w:color="auto" w:fill="auto"/>
          </w:tcPr>
          <w:p w14:paraId="14885AD6" w14:textId="77777777" w:rsidR="00746232" w:rsidRPr="00B968AE" w:rsidRDefault="00746232">
            <w:pPr>
              <w:pStyle w:val="Table"/>
              <w:rPr>
                <w:rFonts w:ascii="Times New Roman" w:hAnsi="Times New Roman"/>
                <w:sz w:val="22"/>
                <w:szCs w:val="22"/>
              </w:rPr>
            </w:pPr>
            <w:r w:rsidRPr="00B968AE">
              <w:rPr>
                <w:rFonts w:ascii="Times New Roman" w:hAnsi="Times New Roman"/>
                <w:sz w:val="22"/>
                <w:szCs w:val="22"/>
              </w:rPr>
              <w:t>Elimination</w:t>
            </w:r>
          </w:p>
        </w:tc>
        <w:tc>
          <w:tcPr>
            <w:tcW w:w="1550" w:type="dxa"/>
            <w:shd w:val="clear" w:color="auto" w:fill="auto"/>
          </w:tcPr>
          <w:p w14:paraId="27BEAE81" w14:textId="05CB6DC1" w:rsidR="00FA0674" w:rsidRDefault="00B47F2E" w:rsidP="000021E9">
            <w:pPr>
              <w:pStyle w:val="Table"/>
              <w:rPr>
                <w:rFonts w:ascii="Times New Roman" w:hAnsi="Times New Roman"/>
                <w:sz w:val="22"/>
                <w:szCs w:val="22"/>
              </w:rPr>
            </w:pPr>
            <w:proofErr w:type="spellStart"/>
            <w:r>
              <w:rPr>
                <w:rFonts w:ascii="Times New Roman" w:hAnsi="Times New Roman"/>
                <w:sz w:val="22"/>
                <w:szCs w:val="22"/>
              </w:rPr>
              <w:t>b</w:t>
            </w:r>
            <w:r w:rsidR="000021E9">
              <w:rPr>
                <w:rFonts w:ascii="Times New Roman" w:hAnsi="Times New Roman"/>
                <w:sz w:val="22"/>
                <w:szCs w:val="22"/>
              </w:rPr>
              <w:t>ile,feces</w:t>
            </w:r>
            <w:proofErr w:type="spellEnd"/>
            <w:r w:rsidR="000021E9">
              <w:rPr>
                <w:rFonts w:ascii="Times New Roman" w:hAnsi="Times New Roman"/>
                <w:sz w:val="22"/>
                <w:szCs w:val="22"/>
              </w:rPr>
              <w:t>/</w:t>
            </w:r>
          </w:p>
          <w:p w14:paraId="4E118E98" w14:textId="593949A7" w:rsidR="00746232" w:rsidRPr="00B968AE" w:rsidRDefault="007724F1" w:rsidP="000021E9">
            <w:pPr>
              <w:pStyle w:val="Table"/>
              <w:rPr>
                <w:rFonts w:ascii="Times New Roman" w:hAnsi="Times New Roman"/>
                <w:sz w:val="22"/>
                <w:szCs w:val="22"/>
              </w:rPr>
            </w:pPr>
            <w:r w:rsidRPr="00B968AE">
              <w:rPr>
                <w:rFonts w:ascii="Times New Roman" w:hAnsi="Times New Roman"/>
                <w:sz w:val="22"/>
                <w:szCs w:val="22"/>
              </w:rPr>
              <w:t>40-60%renal</w:t>
            </w:r>
          </w:p>
        </w:tc>
        <w:tc>
          <w:tcPr>
            <w:tcW w:w="1744" w:type="dxa"/>
            <w:shd w:val="clear" w:color="auto" w:fill="auto"/>
          </w:tcPr>
          <w:p w14:paraId="129848AB" w14:textId="77777777" w:rsidR="00746232" w:rsidRPr="00B968AE" w:rsidRDefault="00D622B2" w:rsidP="00D622B2">
            <w:pPr>
              <w:pStyle w:val="Table"/>
              <w:rPr>
                <w:rFonts w:ascii="Times New Roman" w:hAnsi="Times New Roman"/>
                <w:sz w:val="22"/>
                <w:szCs w:val="22"/>
              </w:rPr>
            </w:pPr>
            <w:r w:rsidRPr="00B968AE">
              <w:rPr>
                <w:rFonts w:ascii="Times New Roman" w:hAnsi="Times New Roman"/>
                <w:sz w:val="22"/>
                <w:szCs w:val="22"/>
                <w:u w:val="single"/>
              </w:rPr>
              <w:t>&gt;</w:t>
            </w:r>
            <w:r w:rsidRPr="00B968AE">
              <w:rPr>
                <w:rFonts w:ascii="Times New Roman" w:hAnsi="Times New Roman"/>
                <w:sz w:val="22"/>
                <w:szCs w:val="22"/>
              </w:rPr>
              <w:t>50% renal</w:t>
            </w:r>
          </w:p>
        </w:tc>
        <w:tc>
          <w:tcPr>
            <w:tcW w:w="1454" w:type="dxa"/>
            <w:shd w:val="clear" w:color="auto" w:fill="auto"/>
          </w:tcPr>
          <w:p w14:paraId="77288DBA" w14:textId="58467DFB" w:rsidR="00746232" w:rsidRPr="00B968AE" w:rsidRDefault="000021E9">
            <w:pPr>
              <w:pStyle w:val="Table"/>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r</w:t>
            </w:r>
            <w:r w:rsidR="006F0211" w:rsidRPr="00B968AE">
              <w:rPr>
                <w:rFonts w:ascii="Times New Roman" w:hAnsi="Times New Roman"/>
                <w:sz w:val="22"/>
                <w:szCs w:val="22"/>
              </w:rPr>
              <w:t>enal</w:t>
            </w:r>
            <w:proofErr w:type="gramEnd"/>
            <w:r w:rsidR="006F0211" w:rsidRPr="00B968AE">
              <w:rPr>
                <w:rFonts w:ascii="Times New Roman" w:hAnsi="Times New Roman"/>
                <w:sz w:val="22"/>
                <w:szCs w:val="22"/>
              </w:rPr>
              <w:t xml:space="preserve"> (&lt;2%)</w:t>
            </w:r>
          </w:p>
        </w:tc>
        <w:tc>
          <w:tcPr>
            <w:tcW w:w="1454" w:type="dxa"/>
            <w:shd w:val="clear" w:color="auto" w:fill="auto"/>
          </w:tcPr>
          <w:p w14:paraId="69D20EF4" w14:textId="15D3A1AF" w:rsidR="00746232" w:rsidRPr="00B968AE" w:rsidRDefault="000021E9">
            <w:pPr>
              <w:pStyle w:val="Table"/>
              <w:rPr>
                <w:rFonts w:ascii="Times New Roman" w:hAnsi="Times New Roman"/>
                <w:sz w:val="22"/>
                <w:szCs w:val="22"/>
              </w:rPr>
            </w:pPr>
            <w:r>
              <w:rPr>
                <w:rFonts w:ascii="Times New Roman" w:hAnsi="Times New Roman"/>
                <w:sz w:val="22"/>
                <w:szCs w:val="22"/>
              </w:rPr>
              <w:t>b</w:t>
            </w:r>
            <w:r w:rsidR="008A2983" w:rsidRPr="00B968AE">
              <w:rPr>
                <w:rFonts w:ascii="Times New Roman" w:hAnsi="Times New Roman"/>
                <w:sz w:val="22"/>
                <w:szCs w:val="22"/>
              </w:rPr>
              <w:t>ile, feces, 5% renal</w:t>
            </w:r>
          </w:p>
        </w:tc>
        <w:tc>
          <w:tcPr>
            <w:tcW w:w="1647" w:type="dxa"/>
            <w:shd w:val="clear" w:color="auto" w:fill="auto"/>
          </w:tcPr>
          <w:p w14:paraId="3A94A68B" w14:textId="77777777" w:rsidR="00746232" w:rsidRPr="00B968AE" w:rsidRDefault="008A2983" w:rsidP="008A2983">
            <w:pPr>
              <w:pStyle w:val="Table"/>
              <w:rPr>
                <w:rFonts w:ascii="Times New Roman" w:hAnsi="Times New Roman"/>
                <w:sz w:val="22"/>
                <w:szCs w:val="22"/>
              </w:rPr>
            </w:pPr>
            <w:r w:rsidRPr="00B968AE">
              <w:rPr>
                <w:rFonts w:ascii="Times New Roman" w:hAnsi="Times New Roman"/>
                <w:sz w:val="22"/>
                <w:szCs w:val="22"/>
              </w:rPr>
              <w:t xml:space="preserve">Feces, 23% renal </w:t>
            </w:r>
          </w:p>
        </w:tc>
      </w:tr>
      <w:tr w:rsidR="00746232" w:rsidRPr="00B968AE" w14:paraId="42589DFC" w14:textId="77777777" w:rsidTr="00FA0674">
        <w:trPr>
          <w:trHeight w:val="228"/>
        </w:trPr>
        <w:tc>
          <w:tcPr>
            <w:tcW w:w="1667" w:type="dxa"/>
            <w:shd w:val="clear" w:color="auto" w:fill="auto"/>
          </w:tcPr>
          <w:p w14:paraId="0DC75CE9" w14:textId="77777777" w:rsidR="00746232" w:rsidRPr="00B968AE" w:rsidRDefault="00746232">
            <w:pPr>
              <w:pStyle w:val="Table"/>
              <w:rPr>
                <w:rFonts w:ascii="Times New Roman" w:hAnsi="Times New Roman"/>
                <w:sz w:val="22"/>
                <w:szCs w:val="22"/>
              </w:rPr>
            </w:pPr>
            <w:r w:rsidRPr="00B968AE">
              <w:rPr>
                <w:rFonts w:ascii="Times New Roman" w:hAnsi="Times New Roman"/>
                <w:sz w:val="22"/>
                <w:szCs w:val="22"/>
              </w:rPr>
              <w:t>Half-life</w:t>
            </w:r>
          </w:p>
        </w:tc>
        <w:tc>
          <w:tcPr>
            <w:tcW w:w="1550" w:type="dxa"/>
            <w:shd w:val="clear" w:color="auto" w:fill="auto"/>
          </w:tcPr>
          <w:p w14:paraId="3443FD15" w14:textId="658971FB" w:rsidR="00746232" w:rsidRPr="00B968AE" w:rsidRDefault="00082460" w:rsidP="007724F1">
            <w:pPr>
              <w:pStyle w:val="Table"/>
              <w:rPr>
                <w:rFonts w:ascii="Times New Roman" w:hAnsi="Times New Roman"/>
                <w:sz w:val="22"/>
                <w:szCs w:val="22"/>
              </w:rPr>
            </w:pPr>
            <w:r w:rsidRPr="00B968AE">
              <w:rPr>
                <w:rFonts w:ascii="Times New Roman" w:hAnsi="Times New Roman"/>
                <w:sz w:val="22"/>
                <w:szCs w:val="22"/>
              </w:rPr>
              <w:t>15-17</w:t>
            </w:r>
            <w:r w:rsidR="0016643D">
              <w:rPr>
                <w:rFonts w:ascii="Times New Roman" w:hAnsi="Times New Roman"/>
                <w:sz w:val="22"/>
                <w:szCs w:val="22"/>
              </w:rPr>
              <w:t xml:space="preserve"> </w:t>
            </w:r>
            <w:r w:rsidRPr="00B968AE">
              <w:rPr>
                <w:rFonts w:ascii="Times New Roman" w:hAnsi="Times New Roman"/>
                <w:sz w:val="22"/>
                <w:szCs w:val="22"/>
              </w:rPr>
              <w:t>hours</w:t>
            </w:r>
            <w:r w:rsidR="000021E9">
              <w:rPr>
                <w:rFonts w:ascii="Times New Roman" w:hAnsi="Times New Roman"/>
                <w:sz w:val="22"/>
                <w:szCs w:val="22"/>
              </w:rPr>
              <w:t>/</w:t>
            </w:r>
            <w:r w:rsidR="007724F1" w:rsidRPr="00B968AE">
              <w:rPr>
                <w:rFonts w:ascii="Times New Roman" w:hAnsi="Times New Roman"/>
                <w:sz w:val="22"/>
                <w:szCs w:val="22"/>
              </w:rPr>
              <w:t xml:space="preserve"> 2-3 days</w:t>
            </w:r>
          </w:p>
        </w:tc>
        <w:tc>
          <w:tcPr>
            <w:tcW w:w="1744" w:type="dxa"/>
            <w:shd w:val="clear" w:color="auto" w:fill="auto"/>
          </w:tcPr>
          <w:p w14:paraId="2F50EF70" w14:textId="77777777" w:rsidR="00746232" w:rsidRPr="00B968AE" w:rsidRDefault="000B04CE">
            <w:pPr>
              <w:pStyle w:val="Table"/>
              <w:rPr>
                <w:rFonts w:ascii="Times New Roman" w:hAnsi="Times New Roman"/>
                <w:sz w:val="22"/>
                <w:szCs w:val="22"/>
              </w:rPr>
            </w:pPr>
            <w:r w:rsidRPr="00B968AE">
              <w:rPr>
                <w:rFonts w:ascii="Times New Roman" w:hAnsi="Times New Roman"/>
                <w:sz w:val="22"/>
                <w:szCs w:val="22"/>
              </w:rPr>
              <w:t>1-3 weeks</w:t>
            </w:r>
          </w:p>
        </w:tc>
        <w:tc>
          <w:tcPr>
            <w:tcW w:w="1454" w:type="dxa"/>
            <w:shd w:val="clear" w:color="auto" w:fill="auto"/>
          </w:tcPr>
          <w:p w14:paraId="4EFE693D" w14:textId="77777777" w:rsidR="00746232" w:rsidRPr="00B968AE" w:rsidRDefault="008A2983">
            <w:pPr>
              <w:pStyle w:val="Table"/>
              <w:rPr>
                <w:rFonts w:ascii="Times New Roman" w:hAnsi="Times New Roman"/>
                <w:sz w:val="22"/>
                <w:szCs w:val="22"/>
              </w:rPr>
            </w:pPr>
            <w:r w:rsidRPr="00B968AE">
              <w:rPr>
                <w:rFonts w:ascii="Times New Roman" w:hAnsi="Times New Roman"/>
                <w:sz w:val="22"/>
                <w:szCs w:val="22"/>
              </w:rPr>
              <w:t>6-30</w:t>
            </w:r>
            <w:r w:rsidR="00082460" w:rsidRPr="00B968AE">
              <w:rPr>
                <w:rFonts w:ascii="Times New Roman" w:hAnsi="Times New Roman"/>
                <w:sz w:val="22"/>
                <w:szCs w:val="22"/>
              </w:rPr>
              <w:t xml:space="preserve"> hours</w:t>
            </w:r>
          </w:p>
        </w:tc>
        <w:tc>
          <w:tcPr>
            <w:tcW w:w="1454" w:type="dxa"/>
            <w:shd w:val="clear" w:color="auto" w:fill="auto"/>
          </w:tcPr>
          <w:p w14:paraId="111822ED" w14:textId="77777777" w:rsidR="00746232" w:rsidRPr="00B968AE" w:rsidRDefault="008A2983">
            <w:pPr>
              <w:pStyle w:val="Table"/>
              <w:rPr>
                <w:rFonts w:ascii="Times New Roman" w:hAnsi="Times New Roman"/>
                <w:sz w:val="22"/>
                <w:szCs w:val="22"/>
              </w:rPr>
            </w:pPr>
            <w:r w:rsidRPr="00B968AE">
              <w:rPr>
                <w:rFonts w:ascii="Times New Roman" w:hAnsi="Times New Roman"/>
                <w:sz w:val="22"/>
                <w:szCs w:val="22"/>
              </w:rPr>
              <w:t>2-4 weeks</w:t>
            </w:r>
          </w:p>
        </w:tc>
        <w:tc>
          <w:tcPr>
            <w:tcW w:w="1647" w:type="dxa"/>
            <w:shd w:val="clear" w:color="auto" w:fill="auto"/>
          </w:tcPr>
          <w:p w14:paraId="6600A8CD" w14:textId="77777777" w:rsidR="00746232" w:rsidRPr="00B968AE" w:rsidRDefault="008A2983">
            <w:pPr>
              <w:pStyle w:val="Table"/>
              <w:rPr>
                <w:rFonts w:ascii="Times New Roman" w:hAnsi="Times New Roman"/>
                <w:sz w:val="22"/>
                <w:szCs w:val="22"/>
              </w:rPr>
            </w:pPr>
            <w:r w:rsidRPr="00B968AE">
              <w:rPr>
                <w:rFonts w:ascii="Times New Roman" w:hAnsi="Times New Roman"/>
                <w:sz w:val="22"/>
                <w:szCs w:val="22"/>
              </w:rPr>
              <w:t>14-24 hours</w:t>
            </w:r>
          </w:p>
        </w:tc>
      </w:tr>
      <w:tr w:rsidR="00746232" w:rsidRPr="00B968AE" w14:paraId="78D39F32" w14:textId="77777777" w:rsidTr="00FA0674">
        <w:trPr>
          <w:trHeight w:val="81"/>
        </w:trPr>
        <w:tc>
          <w:tcPr>
            <w:tcW w:w="1667" w:type="dxa"/>
            <w:shd w:val="clear" w:color="auto" w:fill="auto"/>
          </w:tcPr>
          <w:p w14:paraId="5CB19A65" w14:textId="77777777" w:rsidR="00746232" w:rsidRPr="00B968AE" w:rsidRDefault="00746232">
            <w:pPr>
              <w:pStyle w:val="Table"/>
              <w:rPr>
                <w:rFonts w:ascii="Times New Roman" w:hAnsi="Times New Roman"/>
                <w:sz w:val="22"/>
                <w:szCs w:val="22"/>
              </w:rPr>
            </w:pPr>
            <w:r w:rsidRPr="00B968AE">
              <w:rPr>
                <w:rFonts w:ascii="Times New Roman" w:hAnsi="Times New Roman"/>
                <w:sz w:val="22"/>
                <w:szCs w:val="22"/>
              </w:rPr>
              <w:t>Protein Binding</w:t>
            </w:r>
          </w:p>
        </w:tc>
        <w:tc>
          <w:tcPr>
            <w:tcW w:w="1550" w:type="dxa"/>
            <w:shd w:val="clear" w:color="auto" w:fill="auto"/>
          </w:tcPr>
          <w:p w14:paraId="247D0A55" w14:textId="035BBB3E" w:rsidR="00746232" w:rsidRPr="00B968AE" w:rsidRDefault="007724F1">
            <w:pPr>
              <w:pStyle w:val="Table"/>
              <w:rPr>
                <w:rFonts w:ascii="Times New Roman" w:hAnsi="Times New Roman"/>
                <w:sz w:val="22"/>
                <w:szCs w:val="22"/>
              </w:rPr>
            </w:pPr>
            <w:r w:rsidRPr="00B968AE">
              <w:rPr>
                <w:rFonts w:ascii="Times New Roman" w:hAnsi="Times New Roman"/>
                <w:sz w:val="22"/>
                <w:szCs w:val="22"/>
              </w:rPr>
              <w:t>99</w:t>
            </w:r>
            <w:r w:rsidR="00897924">
              <w:rPr>
                <w:rFonts w:ascii="Times New Roman" w:hAnsi="Times New Roman"/>
                <w:sz w:val="22"/>
                <w:szCs w:val="22"/>
              </w:rPr>
              <w:t>/75</w:t>
            </w:r>
            <w:r w:rsidRPr="00B968AE">
              <w:rPr>
                <w:rFonts w:ascii="Times New Roman" w:hAnsi="Times New Roman"/>
                <w:sz w:val="22"/>
                <w:szCs w:val="22"/>
              </w:rPr>
              <w:t>%</w:t>
            </w:r>
            <w:r w:rsidRPr="00B968AE">
              <w:rPr>
                <w:rFonts w:ascii="Times New Roman" w:hAnsi="Times New Roman"/>
                <w:sz w:val="22"/>
                <w:szCs w:val="22"/>
                <w:vertAlign w:val="superscript"/>
              </w:rPr>
              <w:t>b</w:t>
            </w:r>
          </w:p>
        </w:tc>
        <w:tc>
          <w:tcPr>
            <w:tcW w:w="1744" w:type="dxa"/>
            <w:shd w:val="clear" w:color="auto" w:fill="auto"/>
          </w:tcPr>
          <w:p w14:paraId="6C021919" w14:textId="77777777" w:rsidR="00746232" w:rsidRPr="00B968AE" w:rsidRDefault="00D622B2">
            <w:pPr>
              <w:pStyle w:val="Table"/>
              <w:rPr>
                <w:rFonts w:ascii="Times New Roman" w:hAnsi="Times New Roman"/>
                <w:sz w:val="22"/>
                <w:szCs w:val="22"/>
              </w:rPr>
            </w:pPr>
            <w:r w:rsidRPr="00B968AE">
              <w:rPr>
                <w:rFonts w:ascii="Times New Roman" w:hAnsi="Times New Roman"/>
                <w:sz w:val="22"/>
                <w:szCs w:val="22"/>
              </w:rPr>
              <w:t>55%</w:t>
            </w:r>
          </w:p>
        </w:tc>
        <w:tc>
          <w:tcPr>
            <w:tcW w:w="1454" w:type="dxa"/>
            <w:shd w:val="clear" w:color="auto" w:fill="auto"/>
          </w:tcPr>
          <w:p w14:paraId="2789B318" w14:textId="3970D073" w:rsidR="00746232" w:rsidRPr="00B968AE" w:rsidRDefault="00FC168B">
            <w:pPr>
              <w:pStyle w:val="Table"/>
              <w:rPr>
                <w:rFonts w:ascii="Times New Roman" w:hAnsi="Times New Roman"/>
                <w:sz w:val="22"/>
                <w:szCs w:val="22"/>
              </w:rPr>
            </w:pPr>
            <w:r w:rsidRPr="00302CF8">
              <w:rPr>
                <w:rFonts w:ascii="Times New Roman" w:hAnsi="Times New Roman"/>
                <w:sz w:val="22"/>
                <w:szCs w:val="22"/>
              </w:rPr>
              <w:t>---</w:t>
            </w:r>
            <w:r w:rsidR="000021E9">
              <w:rPr>
                <w:rFonts w:ascii="Times New Roman" w:hAnsi="Times New Roman"/>
                <w:sz w:val="22"/>
                <w:szCs w:val="22"/>
                <w:vertAlign w:val="superscript"/>
              </w:rPr>
              <w:t>c</w:t>
            </w:r>
          </w:p>
        </w:tc>
        <w:tc>
          <w:tcPr>
            <w:tcW w:w="1454" w:type="dxa"/>
            <w:shd w:val="clear" w:color="auto" w:fill="auto"/>
          </w:tcPr>
          <w:p w14:paraId="68A85F7B" w14:textId="77777777" w:rsidR="00746232" w:rsidRPr="00B968AE" w:rsidRDefault="008A2983">
            <w:pPr>
              <w:pStyle w:val="Table"/>
              <w:rPr>
                <w:rFonts w:ascii="Times New Roman" w:hAnsi="Times New Roman"/>
                <w:sz w:val="22"/>
                <w:szCs w:val="22"/>
              </w:rPr>
            </w:pPr>
            <w:r w:rsidRPr="00B968AE">
              <w:rPr>
                <w:rFonts w:ascii="Times New Roman" w:hAnsi="Times New Roman"/>
                <w:sz w:val="22"/>
                <w:szCs w:val="22"/>
              </w:rPr>
              <w:t>98%</w:t>
            </w:r>
          </w:p>
        </w:tc>
        <w:tc>
          <w:tcPr>
            <w:tcW w:w="1647" w:type="dxa"/>
            <w:shd w:val="clear" w:color="auto" w:fill="auto"/>
          </w:tcPr>
          <w:p w14:paraId="1E63E1A1" w14:textId="77777777" w:rsidR="00746232" w:rsidRPr="00B968AE" w:rsidRDefault="008A2983" w:rsidP="008A2983">
            <w:pPr>
              <w:pStyle w:val="Table"/>
              <w:rPr>
                <w:rFonts w:ascii="Times New Roman" w:hAnsi="Times New Roman"/>
                <w:sz w:val="22"/>
                <w:szCs w:val="22"/>
              </w:rPr>
            </w:pPr>
            <w:r w:rsidRPr="00B968AE">
              <w:rPr>
                <w:rFonts w:ascii="Times New Roman" w:hAnsi="Times New Roman"/>
                <w:sz w:val="22"/>
                <w:szCs w:val="22"/>
              </w:rPr>
              <w:t>90%</w:t>
            </w:r>
          </w:p>
        </w:tc>
      </w:tr>
      <w:tr w:rsidR="00746232" w:rsidRPr="00B968AE" w14:paraId="3B700BF3" w14:textId="77777777" w:rsidTr="00FA0674">
        <w:trPr>
          <w:trHeight w:val="523"/>
        </w:trPr>
        <w:tc>
          <w:tcPr>
            <w:tcW w:w="1667" w:type="dxa"/>
            <w:shd w:val="clear" w:color="auto" w:fill="auto"/>
          </w:tcPr>
          <w:p w14:paraId="698F4CD4" w14:textId="77777777" w:rsidR="00746232" w:rsidRPr="00B968AE" w:rsidRDefault="00746232">
            <w:pPr>
              <w:pStyle w:val="Table"/>
              <w:rPr>
                <w:rFonts w:ascii="Times New Roman" w:hAnsi="Times New Roman"/>
                <w:sz w:val="22"/>
                <w:szCs w:val="22"/>
              </w:rPr>
            </w:pPr>
            <w:r w:rsidRPr="00B968AE">
              <w:rPr>
                <w:rFonts w:ascii="Times New Roman" w:hAnsi="Times New Roman"/>
                <w:sz w:val="22"/>
                <w:szCs w:val="22"/>
              </w:rPr>
              <w:t>Bioavailability</w:t>
            </w:r>
          </w:p>
        </w:tc>
        <w:tc>
          <w:tcPr>
            <w:tcW w:w="1550" w:type="dxa"/>
            <w:shd w:val="clear" w:color="auto" w:fill="auto"/>
          </w:tcPr>
          <w:p w14:paraId="39835109" w14:textId="190446AA" w:rsidR="00746232" w:rsidRPr="00B968AE" w:rsidRDefault="003621A5" w:rsidP="000021E9">
            <w:pPr>
              <w:pStyle w:val="Table"/>
              <w:rPr>
                <w:rFonts w:ascii="Times New Roman" w:hAnsi="Times New Roman"/>
                <w:sz w:val="22"/>
                <w:szCs w:val="22"/>
              </w:rPr>
            </w:pPr>
            <w:r w:rsidRPr="00B968AE">
              <w:rPr>
                <w:rFonts w:ascii="Times New Roman" w:hAnsi="Times New Roman"/>
                <w:sz w:val="22"/>
                <w:szCs w:val="22"/>
              </w:rPr>
              <w:t xml:space="preserve">23% with </w:t>
            </w:r>
            <w:r w:rsidR="000021E9">
              <w:rPr>
                <w:rFonts w:ascii="Times New Roman" w:hAnsi="Times New Roman"/>
                <w:sz w:val="22"/>
                <w:szCs w:val="22"/>
              </w:rPr>
              <w:t xml:space="preserve">dietary </w:t>
            </w:r>
            <w:proofErr w:type="spellStart"/>
            <w:r w:rsidR="000021E9">
              <w:rPr>
                <w:rFonts w:ascii="Times New Roman" w:hAnsi="Times New Roman"/>
                <w:sz w:val="22"/>
                <w:szCs w:val="22"/>
              </w:rPr>
              <w:t>fat</w:t>
            </w:r>
            <w:r w:rsidR="0079503B">
              <w:rPr>
                <w:rFonts w:ascii="Times New Roman" w:hAnsi="Times New Roman"/>
                <w:sz w:val="22"/>
                <w:szCs w:val="22"/>
                <w:vertAlign w:val="superscript"/>
              </w:rPr>
              <w:t>d</w:t>
            </w:r>
            <w:proofErr w:type="spellEnd"/>
          </w:p>
        </w:tc>
        <w:tc>
          <w:tcPr>
            <w:tcW w:w="1744" w:type="dxa"/>
            <w:shd w:val="clear" w:color="auto" w:fill="auto"/>
          </w:tcPr>
          <w:p w14:paraId="7DC88EF2" w14:textId="77777777" w:rsidR="00746232" w:rsidRPr="00B968AE" w:rsidRDefault="000B04CE" w:rsidP="000B04CE">
            <w:pPr>
              <w:pStyle w:val="Table"/>
              <w:rPr>
                <w:rFonts w:ascii="Times New Roman" w:hAnsi="Times New Roman"/>
                <w:sz w:val="22"/>
                <w:szCs w:val="22"/>
              </w:rPr>
            </w:pPr>
            <w:r w:rsidRPr="00B968AE">
              <w:rPr>
                <w:rFonts w:ascii="Times New Roman" w:hAnsi="Times New Roman"/>
                <w:sz w:val="22"/>
                <w:szCs w:val="22"/>
              </w:rPr>
              <w:t>&gt;75%</w:t>
            </w:r>
          </w:p>
        </w:tc>
        <w:tc>
          <w:tcPr>
            <w:tcW w:w="1454" w:type="dxa"/>
            <w:shd w:val="clear" w:color="auto" w:fill="auto"/>
          </w:tcPr>
          <w:p w14:paraId="1220E176" w14:textId="77777777" w:rsidR="00746232" w:rsidRPr="00B968AE" w:rsidRDefault="008A2983">
            <w:pPr>
              <w:pStyle w:val="Table"/>
              <w:rPr>
                <w:rFonts w:ascii="Times New Roman" w:hAnsi="Times New Roman"/>
                <w:sz w:val="22"/>
                <w:szCs w:val="22"/>
              </w:rPr>
            </w:pPr>
            <w:r w:rsidRPr="00B968AE">
              <w:rPr>
                <w:rFonts w:ascii="Times New Roman" w:hAnsi="Times New Roman"/>
                <w:sz w:val="22"/>
                <w:szCs w:val="22"/>
              </w:rPr>
              <w:t>96%</w:t>
            </w:r>
          </w:p>
        </w:tc>
        <w:tc>
          <w:tcPr>
            <w:tcW w:w="1454" w:type="dxa"/>
            <w:shd w:val="clear" w:color="auto" w:fill="auto"/>
          </w:tcPr>
          <w:p w14:paraId="127635F9" w14:textId="77777777" w:rsidR="00746232" w:rsidRPr="00B968AE" w:rsidRDefault="008A2983" w:rsidP="008A2983">
            <w:pPr>
              <w:pStyle w:val="Table"/>
              <w:rPr>
                <w:rFonts w:ascii="Times New Roman" w:hAnsi="Times New Roman"/>
                <w:sz w:val="22"/>
                <w:szCs w:val="22"/>
              </w:rPr>
            </w:pPr>
            <w:r w:rsidRPr="00B968AE">
              <w:rPr>
                <w:rFonts w:ascii="Times New Roman" w:hAnsi="Times New Roman"/>
                <w:sz w:val="22"/>
                <w:szCs w:val="22"/>
              </w:rPr>
              <w:t>&gt;85% with food</w:t>
            </w:r>
          </w:p>
        </w:tc>
        <w:tc>
          <w:tcPr>
            <w:tcW w:w="1647" w:type="dxa"/>
            <w:shd w:val="clear" w:color="auto" w:fill="auto"/>
          </w:tcPr>
          <w:p w14:paraId="5C015D95" w14:textId="77777777" w:rsidR="00746232" w:rsidRPr="00B968AE" w:rsidRDefault="008A2983">
            <w:pPr>
              <w:pStyle w:val="Table"/>
              <w:rPr>
                <w:rFonts w:ascii="Times New Roman" w:hAnsi="Times New Roman"/>
                <w:sz w:val="22"/>
                <w:szCs w:val="22"/>
              </w:rPr>
            </w:pPr>
            <w:r w:rsidRPr="00B968AE">
              <w:rPr>
                <w:rFonts w:ascii="Times New Roman" w:hAnsi="Times New Roman"/>
                <w:sz w:val="22"/>
                <w:szCs w:val="22"/>
              </w:rPr>
              <w:t>&gt;90%</w:t>
            </w:r>
          </w:p>
        </w:tc>
      </w:tr>
    </w:tbl>
    <w:p w14:paraId="64038719" w14:textId="1750E6BB" w:rsidR="000021E9" w:rsidRPr="00B968AE" w:rsidRDefault="007724F1" w:rsidP="000021E9">
      <w:pPr>
        <w:rPr>
          <w:bCs/>
          <w:szCs w:val="22"/>
        </w:rPr>
      </w:pPr>
      <w:proofErr w:type="gramStart"/>
      <w:r w:rsidRPr="00B968AE">
        <w:rPr>
          <w:bCs/>
          <w:szCs w:val="22"/>
          <w:vertAlign w:val="superscript"/>
        </w:rPr>
        <w:t>a</w:t>
      </w:r>
      <w:proofErr w:type="gramEnd"/>
      <w:r w:rsidR="000021E9" w:rsidRPr="000021E9">
        <w:rPr>
          <w:szCs w:val="22"/>
        </w:rPr>
        <w:t xml:space="preserve"> Proguanil is metabolized into </w:t>
      </w:r>
      <w:proofErr w:type="spellStart"/>
      <w:r w:rsidR="000021E9" w:rsidRPr="000021E9">
        <w:rPr>
          <w:szCs w:val="22"/>
        </w:rPr>
        <w:t>cycloguanil</w:t>
      </w:r>
      <w:proofErr w:type="spellEnd"/>
      <w:r w:rsidR="000021E9" w:rsidRPr="000021E9">
        <w:rPr>
          <w:szCs w:val="22"/>
        </w:rPr>
        <w:t xml:space="preserve"> and p-</w:t>
      </w:r>
      <w:proofErr w:type="spellStart"/>
      <w:r w:rsidR="000021E9" w:rsidRPr="000021E9">
        <w:rPr>
          <w:szCs w:val="22"/>
        </w:rPr>
        <w:t>chlorophenylbiguanide</w:t>
      </w:r>
      <w:proofErr w:type="spellEnd"/>
      <w:r w:rsidR="000021E9" w:rsidRPr="000021E9">
        <w:rPr>
          <w:szCs w:val="22"/>
        </w:rPr>
        <w:t xml:space="preserve"> (</w:t>
      </w:r>
      <w:proofErr w:type="spellStart"/>
      <w:r w:rsidR="000021E9" w:rsidRPr="000021E9">
        <w:rPr>
          <w:szCs w:val="22"/>
        </w:rPr>
        <w:t>pCBG</w:t>
      </w:r>
      <w:proofErr w:type="spellEnd"/>
      <w:r w:rsidR="000021E9" w:rsidRPr="000021E9">
        <w:rPr>
          <w:szCs w:val="22"/>
        </w:rPr>
        <w:t xml:space="preserve">) primarily via </w:t>
      </w:r>
      <w:r w:rsidR="000021E9">
        <w:rPr>
          <w:szCs w:val="22"/>
        </w:rPr>
        <w:t>CYP2C19</w:t>
      </w:r>
      <w:r w:rsidR="000021E9" w:rsidRPr="000021E9">
        <w:rPr>
          <w:szCs w:val="22"/>
        </w:rPr>
        <w:t xml:space="preserve"> enzymes present in the liver.</w:t>
      </w:r>
      <w:r w:rsidR="000021E9" w:rsidRPr="00B968AE">
        <w:rPr>
          <w:b/>
          <w:szCs w:val="22"/>
        </w:rPr>
        <w:t xml:space="preserve"> </w:t>
      </w:r>
    </w:p>
    <w:p w14:paraId="0E06467D" w14:textId="36AEC772" w:rsidR="00D622B2" w:rsidRDefault="000021E9" w:rsidP="007724F1">
      <w:pPr>
        <w:rPr>
          <w:bCs/>
          <w:szCs w:val="22"/>
        </w:rPr>
      </w:pPr>
      <w:proofErr w:type="gramStart"/>
      <w:r>
        <w:rPr>
          <w:bCs/>
          <w:szCs w:val="22"/>
          <w:vertAlign w:val="superscript"/>
        </w:rPr>
        <w:t>b</w:t>
      </w:r>
      <w:proofErr w:type="gramEnd"/>
      <w:r w:rsidR="00D622B2" w:rsidRPr="00B968AE">
        <w:rPr>
          <w:bCs/>
          <w:szCs w:val="22"/>
        </w:rPr>
        <w:t xml:space="preserve"> Chl</w:t>
      </w:r>
      <w:r w:rsidR="00584318" w:rsidRPr="00B968AE">
        <w:rPr>
          <w:bCs/>
          <w:szCs w:val="22"/>
        </w:rPr>
        <w:t>o</w:t>
      </w:r>
      <w:r w:rsidR="00D622B2" w:rsidRPr="00B968AE">
        <w:rPr>
          <w:bCs/>
          <w:szCs w:val="22"/>
        </w:rPr>
        <w:t xml:space="preserve">roquine is partially metabolized by the liver to main metabolite, </w:t>
      </w:r>
      <w:proofErr w:type="spellStart"/>
      <w:r w:rsidR="00D622B2" w:rsidRPr="00B968AE">
        <w:rPr>
          <w:bCs/>
          <w:szCs w:val="22"/>
        </w:rPr>
        <w:t>deesthylchloroquine</w:t>
      </w:r>
      <w:proofErr w:type="spellEnd"/>
    </w:p>
    <w:p w14:paraId="59FC6801" w14:textId="7DE3809F" w:rsidR="00302CF8" w:rsidRDefault="000021E9" w:rsidP="007724F1">
      <w:pPr>
        <w:rPr>
          <w:bCs/>
          <w:szCs w:val="22"/>
        </w:rPr>
      </w:pPr>
      <w:proofErr w:type="gramStart"/>
      <w:r>
        <w:rPr>
          <w:bCs/>
          <w:szCs w:val="22"/>
          <w:vertAlign w:val="superscript"/>
        </w:rPr>
        <w:t>c</w:t>
      </w:r>
      <w:proofErr w:type="gramEnd"/>
      <w:r w:rsidR="00302CF8">
        <w:rPr>
          <w:bCs/>
          <w:szCs w:val="22"/>
        </w:rPr>
        <w:t xml:space="preserve"> No information available</w:t>
      </w:r>
    </w:p>
    <w:p w14:paraId="30A91228" w14:textId="569C2202" w:rsidR="00921516" w:rsidRPr="00AF6687" w:rsidRDefault="000021E9">
      <w:pPr>
        <w:rPr>
          <w:szCs w:val="22"/>
        </w:rPr>
      </w:pPr>
      <w:proofErr w:type="gramStart"/>
      <w:r>
        <w:rPr>
          <w:bCs/>
          <w:szCs w:val="22"/>
          <w:vertAlign w:val="superscript"/>
        </w:rPr>
        <w:t>d</w:t>
      </w:r>
      <w:proofErr w:type="gramEnd"/>
      <w:r w:rsidR="00897924">
        <w:rPr>
          <w:bCs/>
          <w:szCs w:val="22"/>
        </w:rPr>
        <w:t xml:space="preserve"> </w:t>
      </w:r>
      <w:r w:rsidR="00897924" w:rsidRPr="00B968AE">
        <w:rPr>
          <w:szCs w:val="22"/>
        </w:rPr>
        <w:t xml:space="preserve">Dietary fat taken with atovaquone increases AUC 2-3 folds and </w:t>
      </w:r>
      <w:proofErr w:type="spellStart"/>
      <w:r w:rsidR="00897924" w:rsidRPr="00B968AE">
        <w:rPr>
          <w:szCs w:val="22"/>
        </w:rPr>
        <w:t>C</w:t>
      </w:r>
      <w:r w:rsidR="00897924" w:rsidRPr="00B968AE">
        <w:rPr>
          <w:szCs w:val="22"/>
          <w:vertAlign w:val="subscript"/>
        </w:rPr>
        <w:t>max</w:t>
      </w:r>
      <w:proofErr w:type="spellEnd"/>
      <w:r w:rsidR="00897924" w:rsidRPr="00B968AE">
        <w:rPr>
          <w:szCs w:val="22"/>
        </w:rPr>
        <w:t xml:space="preserve"> 5 fold over fasting</w:t>
      </w:r>
    </w:p>
    <w:p w14:paraId="757CD0E2" w14:textId="07B07461" w:rsidR="00537E8D" w:rsidRPr="00B968AE" w:rsidRDefault="00537E8D">
      <w:pPr>
        <w:pStyle w:val="Heading1"/>
        <w:rPr>
          <w:rFonts w:ascii="Times New Roman" w:hAnsi="Times New Roman"/>
          <w:szCs w:val="22"/>
        </w:rPr>
      </w:pPr>
      <w:r w:rsidRPr="00B968AE">
        <w:rPr>
          <w:rFonts w:ascii="Times New Roman" w:hAnsi="Times New Roman"/>
          <w:szCs w:val="22"/>
        </w:rPr>
        <w:t>FDA Approved Indication(s)</w:t>
      </w:r>
      <w:r w:rsidR="00530717" w:rsidRPr="00B968AE">
        <w:rPr>
          <w:rFonts w:ascii="Times New Roman" w:hAnsi="Times New Roman"/>
          <w:b w:val="0"/>
          <w:szCs w:val="22"/>
          <w:u w:val="none"/>
          <w:vertAlign w:val="superscript"/>
        </w:rPr>
        <w:t>1</w:t>
      </w:r>
    </w:p>
    <w:p w14:paraId="2434F297" w14:textId="3D62CCE9" w:rsidR="00666BF9" w:rsidRPr="00B968AE" w:rsidRDefault="00666BF9" w:rsidP="00666BF9">
      <w:pPr>
        <w:rPr>
          <w:bCs/>
          <w:szCs w:val="22"/>
        </w:rPr>
      </w:pPr>
      <w:r w:rsidRPr="00B968AE">
        <w:rPr>
          <w:b/>
          <w:bCs/>
          <w:szCs w:val="22"/>
        </w:rPr>
        <w:t xml:space="preserve">Prevention of malaria: </w:t>
      </w:r>
      <w:r w:rsidRPr="00B968AE">
        <w:rPr>
          <w:bCs/>
          <w:szCs w:val="22"/>
        </w:rPr>
        <w:t xml:space="preserve">atovaquone/proguanil hydrochloride is FDA-approved for the prophylaxis of </w:t>
      </w:r>
      <w:r w:rsidRPr="00B968AE">
        <w:rPr>
          <w:bCs/>
          <w:i/>
          <w:szCs w:val="22"/>
        </w:rPr>
        <w:t>Plasmodium falciparum</w:t>
      </w:r>
      <w:r w:rsidRPr="00B968AE">
        <w:rPr>
          <w:bCs/>
          <w:szCs w:val="22"/>
        </w:rPr>
        <w:t xml:space="preserve"> malaria, inclu</w:t>
      </w:r>
      <w:r w:rsidR="008902C8" w:rsidRPr="00B968AE">
        <w:rPr>
          <w:bCs/>
          <w:szCs w:val="22"/>
        </w:rPr>
        <w:t>ding in areas where chloroquine-</w:t>
      </w:r>
      <w:r w:rsidRPr="00B968AE">
        <w:rPr>
          <w:bCs/>
          <w:szCs w:val="22"/>
        </w:rPr>
        <w:t xml:space="preserve">resistance has been reported. </w:t>
      </w:r>
    </w:p>
    <w:p w14:paraId="4A9152CC" w14:textId="77777777" w:rsidR="00666BF9" w:rsidRPr="00B968AE" w:rsidRDefault="00666BF9" w:rsidP="00666BF9">
      <w:pPr>
        <w:tabs>
          <w:tab w:val="left" w:pos="5910"/>
        </w:tabs>
        <w:rPr>
          <w:bCs/>
          <w:szCs w:val="22"/>
        </w:rPr>
      </w:pPr>
      <w:r w:rsidRPr="00B968AE">
        <w:rPr>
          <w:b/>
          <w:bCs/>
          <w:szCs w:val="22"/>
        </w:rPr>
        <w:t xml:space="preserve">Treatment of malaria: </w:t>
      </w:r>
      <w:r w:rsidRPr="00B968AE">
        <w:rPr>
          <w:bCs/>
          <w:szCs w:val="22"/>
        </w:rPr>
        <w:t xml:space="preserve">atovaquone/proguanil hydrochloride is FDA-approved for the treatment of acute, uncomplicated </w:t>
      </w:r>
      <w:r w:rsidRPr="00B968AE">
        <w:rPr>
          <w:bCs/>
          <w:i/>
          <w:szCs w:val="22"/>
        </w:rPr>
        <w:t>Plasmodium falciparum</w:t>
      </w:r>
      <w:r w:rsidRPr="00B968AE">
        <w:rPr>
          <w:bCs/>
          <w:szCs w:val="22"/>
        </w:rPr>
        <w:t xml:space="preserve"> malaria. </w:t>
      </w:r>
    </w:p>
    <w:p w14:paraId="44223413" w14:textId="77777777" w:rsidR="00666BF9" w:rsidRPr="00B968AE" w:rsidRDefault="00666BF9" w:rsidP="00666BF9">
      <w:pPr>
        <w:tabs>
          <w:tab w:val="left" w:pos="5910"/>
        </w:tabs>
        <w:rPr>
          <w:szCs w:val="22"/>
        </w:rPr>
      </w:pPr>
    </w:p>
    <w:p w14:paraId="6DD34C46" w14:textId="58895EEC" w:rsidR="00666BF9" w:rsidRPr="00B968AE" w:rsidRDefault="00666BF9" w:rsidP="00666BF9">
      <w:pPr>
        <w:tabs>
          <w:tab w:val="left" w:pos="5910"/>
        </w:tabs>
        <w:rPr>
          <w:b/>
          <w:szCs w:val="22"/>
          <w:u w:val="single"/>
        </w:rPr>
      </w:pPr>
      <w:r w:rsidRPr="00B968AE">
        <w:rPr>
          <w:b/>
          <w:szCs w:val="22"/>
          <w:u w:val="single"/>
        </w:rPr>
        <w:t>CDC</w:t>
      </w:r>
      <w:r w:rsidR="00753292">
        <w:rPr>
          <w:b/>
          <w:szCs w:val="22"/>
          <w:u w:val="single"/>
        </w:rPr>
        <w:t xml:space="preserve"> Guidelines</w:t>
      </w:r>
      <w:r w:rsidR="00753292" w:rsidRPr="00B968AE">
        <w:rPr>
          <w:szCs w:val="22"/>
          <w:vertAlign w:val="superscript"/>
        </w:rPr>
        <w:t xml:space="preserve"> </w:t>
      </w:r>
      <w:r w:rsidRPr="00B968AE">
        <w:rPr>
          <w:szCs w:val="22"/>
          <w:vertAlign w:val="superscript"/>
        </w:rPr>
        <w:t>1</w:t>
      </w:r>
      <w:r w:rsidR="00E7153A">
        <w:rPr>
          <w:szCs w:val="22"/>
          <w:vertAlign w:val="superscript"/>
        </w:rPr>
        <w:t>1</w:t>
      </w:r>
    </w:p>
    <w:p w14:paraId="50665846" w14:textId="1AD03008" w:rsidR="00257FCA" w:rsidRPr="00B968AE" w:rsidRDefault="00257FCA" w:rsidP="00257FCA">
      <w:pPr>
        <w:rPr>
          <w:szCs w:val="22"/>
        </w:rPr>
      </w:pPr>
      <w:r w:rsidRPr="00B968AE">
        <w:rPr>
          <w:szCs w:val="22"/>
        </w:rPr>
        <w:t xml:space="preserve">Malaria is transmitted among humans by female mosquitoes of the genus Anopheles.  </w:t>
      </w:r>
      <w:proofErr w:type="spellStart"/>
      <w:r w:rsidRPr="00B968AE">
        <w:rPr>
          <w:szCs w:val="22"/>
        </w:rPr>
        <w:t>Anophelines</w:t>
      </w:r>
      <w:proofErr w:type="spellEnd"/>
      <w:r w:rsidRPr="00B968AE">
        <w:rPr>
          <w:szCs w:val="22"/>
        </w:rPr>
        <w:t xml:space="preserve"> are found worldwide except Antarctica. Malaria is transmitted by different Anopheles </w:t>
      </w:r>
      <w:r w:rsidR="00A678BF" w:rsidRPr="00B968AE">
        <w:rPr>
          <w:szCs w:val="22"/>
        </w:rPr>
        <w:t xml:space="preserve">species, depending on the region and the environment. </w:t>
      </w:r>
      <w:proofErr w:type="spellStart"/>
      <w:r w:rsidR="00A678BF" w:rsidRPr="00B968AE">
        <w:rPr>
          <w:szCs w:val="22"/>
        </w:rPr>
        <w:t>Anophelines</w:t>
      </w:r>
      <w:proofErr w:type="spellEnd"/>
      <w:r w:rsidR="00A678BF" w:rsidRPr="00B968AE">
        <w:rPr>
          <w:szCs w:val="22"/>
        </w:rPr>
        <w:t xml:space="preserve"> that can transmit malaria are found not only in malaria-endemic areas, but also in areas where malaria has been eliminated. It is important for travelers to obtain a detailed </w:t>
      </w:r>
      <w:r w:rsidR="00CC0F81" w:rsidRPr="00B968AE">
        <w:rPr>
          <w:szCs w:val="22"/>
        </w:rPr>
        <w:t>itinerary</w:t>
      </w:r>
      <w:r w:rsidR="00A678BF" w:rsidRPr="00B968AE">
        <w:rPr>
          <w:szCs w:val="22"/>
        </w:rPr>
        <w:t xml:space="preserve"> including all possible destinations that may be encountered during the trip and check to see if malaria transmission occurs in these location</w:t>
      </w:r>
      <w:r w:rsidR="00CC0F81" w:rsidRPr="00B968AE">
        <w:rPr>
          <w:szCs w:val="22"/>
        </w:rPr>
        <w:t>s</w:t>
      </w:r>
      <w:r w:rsidR="00A678BF" w:rsidRPr="00B968AE">
        <w:rPr>
          <w:szCs w:val="22"/>
        </w:rPr>
        <w:t xml:space="preserve">. Detail information on malaria information by country can be found on </w:t>
      </w:r>
      <w:r w:rsidR="00A678BF" w:rsidRPr="00B968AE">
        <w:rPr>
          <w:szCs w:val="22"/>
        </w:rPr>
        <w:lastRenderedPageBreak/>
        <w:t xml:space="preserve">the CDC websites </w:t>
      </w:r>
      <w:hyperlink r:id="rId11" w:history="1">
        <w:r w:rsidR="00A678BF" w:rsidRPr="00B968AE">
          <w:rPr>
            <w:rStyle w:val="Hyperlink"/>
            <w:szCs w:val="22"/>
          </w:rPr>
          <w:t>http://www.cdc.gov/malaria/travelers/country_table/a.html</w:t>
        </w:r>
      </w:hyperlink>
      <w:r w:rsidR="00A678BF" w:rsidRPr="00B968AE">
        <w:rPr>
          <w:szCs w:val="22"/>
        </w:rPr>
        <w:t xml:space="preserve"> or </w:t>
      </w:r>
      <w:hyperlink r:id="rId12" w:history="1">
        <w:r w:rsidR="009E0B86" w:rsidRPr="00B968AE">
          <w:rPr>
            <w:rStyle w:val="Hyperlink"/>
            <w:szCs w:val="22"/>
          </w:rPr>
          <w:t>http://www.cdc.gov/malaria/map/index.html</w:t>
        </w:r>
      </w:hyperlink>
      <w:r w:rsidR="009E0B86" w:rsidRPr="00B968AE">
        <w:rPr>
          <w:szCs w:val="22"/>
        </w:rPr>
        <w:t xml:space="preserve">. </w:t>
      </w:r>
    </w:p>
    <w:p w14:paraId="01555E1C" w14:textId="77777777" w:rsidR="00DD10D4" w:rsidRPr="00B968AE" w:rsidRDefault="00DD10D4" w:rsidP="00257FCA">
      <w:pPr>
        <w:rPr>
          <w:szCs w:val="22"/>
        </w:rPr>
      </w:pPr>
    </w:p>
    <w:p w14:paraId="05B289A5" w14:textId="22AE442C" w:rsidR="00DF7C1D" w:rsidRPr="00B968AE" w:rsidRDefault="00BB6342" w:rsidP="00257FCA">
      <w:pPr>
        <w:rPr>
          <w:szCs w:val="22"/>
        </w:rPr>
      </w:pPr>
      <w:r w:rsidRPr="00B968AE">
        <w:rPr>
          <w:szCs w:val="22"/>
        </w:rPr>
        <w:t xml:space="preserve">Where malaria is found depends mainly on climatic factors such as temperature, humidity, and rainfall. </w:t>
      </w:r>
      <w:r w:rsidR="00FF0CC9" w:rsidRPr="00B968AE">
        <w:rPr>
          <w:szCs w:val="22"/>
        </w:rPr>
        <w:t xml:space="preserve">Areas with highest malaria transmission rate are found in Africa South of the Sahara and in parts of Oceania such as Papua New Guinea. </w:t>
      </w:r>
      <w:r w:rsidR="00FC0DF9" w:rsidRPr="00B968AE">
        <w:rPr>
          <w:szCs w:val="22"/>
        </w:rPr>
        <w:t xml:space="preserve"> </w:t>
      </w:r>
    </w:p>
    <w:p w14:paraId="69CBCBF8" w14:textId="77777777" w:rsidR="009F6C16" w:rsidRPr="00B968AE" w:rsidRDefault="009F6C16" w:rsidP="00257FCA">
      <w:pPr>
        <w:rPr>
          <w:szCs w:val="22"/>
        </w:rPr>
      </w:pPr>
    </w:p>
    <w:p w14:paraId="492B0BFC" w14:textId="79E254AA" w:rsidR="00247139" w:rsidRDefault="001F696C" w:rsidP="00247139">
      <w:pPr>
        <w:tabs>
          <w:tab w:val="left" w:pos="5910"/>
        </w:tabs>
        <w:rPr>
          <w:szCs w:val="22"/>
        </w:rPr>
      </w:pPr>
      <w:r w:rsidRPr="00247139">
        <w:rPr>
          <w:szCs w:val="22"/>
        </w:rPr>
        <w:t>Atovaquone/proguani</w:t>
      </w:r>
      <w:r w:rsidR="00247139">
        <w:rPr>
          <w:szCs w:val="22"/>
        </w:rPr>
        <w:t>l is recommended by the CDC for the following:</w:t>
      </w:r>
    </w:p>
    <w:p w14:paraId="720D1A40" w14:textId="2B96066C" w:rsidR="001F696C" w:rsidRPr="005E3C74" w:rsidRDefault="001F696C" w:rsidP="00247139">
      <w:pPr>
        <w:pStyle w:val="ListParagraph"/>
        <w:numPr>
          <w:ilvl w:val="0"/>
          <w:numId w:val="41"/>
        </w:numPr>
        <w:tabs>
          <w:tab w:val="left" w:pos="5910"/>
        </w:tabs>
        <w:rPr>
          <w:szCs w:val="22"/>
        </w:rPr>
      </w:pPr>
      <w:r w:rsidRPr="005E3C74">
        <w:rPr>
          <w:bCs/>
          <w:szCs w:val="22"/>
        </w:rPr>
        <w:t>Prophylaxis of malaria</w:t>
      </w:r>
      <w:r w:rsidR="00FA0674">
        <w:rPr>
          <w:bCs/>
          <w:szCs w:val="22"/>
        </w:rPr>
        <w:t xml:space="preserve"> in chloroquine-</w:t>
      </w:r>
      <w:r w:rsidR="005E3C74" w:rsidRPr="005E3C74">
        <w:rPr>
          <w:bCs/>
          <w:szCs w:val="22"/>
        </w:rPr>
        <w:t>sensit</w:t>
      </w:r>
      <w:r w:rsidR="005E3C74">
        <w:rPr>
          <w:bCs/>
          <w:szCs w:val="22"/>
        </w:rPr>
        <w:t xml:space="preserve">ive and </w:t>
      </w:r>
      <w:r w:rsidR="00FA0674">
        <w:rPr>
          <w:bCs/>
          <w:szCs w:val="22"/>
        </w:rPr>
        <w:t>-</w:t>
      </w:r>
      <w:r w:rsidR="005E3C74">
        <w:rPr>
          <w:bCs/>
          <w:szCs w:val="22"/>
        </w:rPr>
        <w:t>resistant areas</w:t>
      </w:r>
      <w:r w:rsidR="005E3C74" w:rsidRPr="005E3C74">
        <w:rPr>
          <w:bCs/>
          <w:szCs w:val="22"/>
        </w:rPr>
        <w:t xml:space="preserve">  </w:t>
      </w:r>
    </w:p>
    <w:p w14:paraId="3ACCCACD" w14:textId="3AA500EF" w:rsidR="001F696C" w:rsidRPr="00247139" w:rsidRDefault="001F696C" w:rsidP="00247139">
      <w:pPr>
        <w:pStyle w:val="ListParagraph"/>
        <w:numPr>
          <w:ilvl w:val="0"/>
          <w:numId w:val="41"/>
        </w:numPr>
        <w:tabs>
          <w:tab w:val="left" w:pos="5910"/>
        </w:tabs>
        <w:rPr>
          <w:szCs w:val="22"/>
        </w:rPr>
      </w:pPr>
      <w:r w:rsidRPr="00247139">
        <w:rPr>
          <w:szCs w:val="22"/>
        </w:rPr>
        <w:t>T</w:t>
      </w:r>
      <w:r w:rsidR="00870929" w:rsidRPr="00247139">
        <w:rPr>
          <w:szCs w:val="22"/>
        </w:rPr>
        <w:t xml:space="preserve">reatment of uncomplicated </w:t>
      </w:r>
      <w:r w:rsidR="00C8100C" w:rsidRPr="00247139">
        <w:rPr>
          <w:i/>
          <w:szCs w:val="22"/>
        </w:rPr>
        <w:t>P</w:t>
      </w:r>
      <w:r w:rsidR="00C8100C" w:rsidRPr="00247139">
        <w:rPr>
          <w:szCs w:val="22"/>
        </w:rPr>
        <w:t xml:space="preserve">. </w:t>
      </w:r>
      <w:r w:rsidR="00870929" w:rsidRPr="00247139">
        <w:rPr>
          <w:i/>
          <w:szCs w:val="22"/>
        </w:rPr>
        <w:t>falciparum</w:t>
      </w:r>
      <w:r w:rsidR="00870929" w:rsidRPr="00247139">
        <w:rPr>
          <w:szCs w:val="22"/>
        </w:rPr>
        <w:t xml:space="preserve"> </w:t>
      </w:r>
      <w:r w:rsidR="00C8100C" w:rsidRPr="00247139">
        <w:rPr>
          <w:szCs w:val="22"/>
        </w:rPr>
        <w:t xml:space="preserve">malaria </w:t>
      </w:r>
      <w:r w:rsidR="00753292">
        <w:rPr>
          <w:szCs w:val="22"/>
        </w:rPr>
        <w:t>(</w:t>
      </w:r>
      <w:r w:rsidR="00870929" w:rsidRPr="00247139">
        <w:rPr>
          <w:szCs w:val="22"/>
        </w:rPr>
        <w:t xml:space="preserve">or species </w:t>
      </w:r>
      <w:r w:rsidR="00753292">
        <w:rPr>
          <w:szCs w:val="22"/>
        </w:rPr>
        <w:t xml:space="preserve">that were </w:t>
      </w:r>
      <w:r w:rsidR="00870929" w:rsidRPr="00247139">
        <w:rPr>
          <w:szCs w:val="22"/>
        </w:rPr>
        <w:t>not identified</w:t>
      </w:r>
      <w:r w:rsidR="00753292">
        <w:rPr>
          <w:szCs w:val="22"/>
        </w:rPr>
        <w:t>)</w:t>
      </w:r>
      <w:r w:rsidR="00247139" w:rsidRPr="00247139">
        <w:rPr>
          <w:szCs w:val="22"/>
        </w:rPr>
        <w:t xml:space="preserve"> in chloroquine-resistant or </w:t>
      </w:r>
      <w:r w:rsidR="00247139">
        <w:rPr>
          <w:szCs w:val="22"/>
        </w:rPr>
        <w:t xml:space="preserve">areas with </w:t>
      </w:r>
      <w:r w:rsidR="00247139" w:rsidRPr="00247139">
        <w:rPr>
          <w:szCs w:val="22"/>
        </w:rPr>
        <w:t>unknown resistance</w:t>
      </w:r>
      <w:r w:rsidR="00247139">
        <w:rPr>
          <w:szCs w:val="22"/>
        </w:rPr>
        <w:t xml:space="preserve"> </w:t>
      </w:r>
    </w:p>
    <w:p w14:paraId="3B67D868" w14:textId="6EAB9691" w:rsidR="00C8100C" w:rsidRPr="00247139" w:rsidRDefault="001F696C" w:rsidP="003141DC">
      <w:pPr>
        <w:pStyle w:val="ListParagraph"/>
        <w:numPr>
          <w:ilvl w:val="0"/>
          <w:numId w:val="41"/>
        </w:numPr>
        <w:tabs>
          <w:tab w:val="left" w:pos="5910"/>
        </w:tabs>
        <w:rPr>
          <w:szCs w:val="22"/>
        </w:rPr>
      </w:pPr>
      <w:r w:rsidRPr="00247139">
        <w:rPr>
          <w:szCs w:val="22"/>
        </w:rPr>
        <w:t>Treatment</w:t>
      </w:r>
      <w:r w:rsidR="00C8100C" w:rsidRPr="00247139">
        <w:rPr>
          <w:szCs w:val="22"/>
        </w:rPr>
        <w:t xml:space="preserve"> of</w:t>
      </w:r>
      <w:r w:rsidR="004F7BC9" w:rsidRPr="00247139">
        <w:rPr>
          <w:szCs w:val="22"/>
        </w:rPr>
        <w:t xml:space="preserve"> uncomplicated </w:t>
      </w:r>
      <w:r w:rsidR="004F7BC9" w:rsidRPr="00247139">
        <w:rPr>
          <w:i/>
          <w:szCs w:val="22"/>
        </w:rPr>
        <w:t xml:space="preserve">P. </w:t>
      </w:r>
      <w:proofErr w:type="spellStart"/>
      <w:r w:rsidR="004F7BC9" w:rsidRPr="00247139">
        <w:rPr>
          <w:i/>
          <w:szCs w:val="22"/>
        </w:rPr>
        <w:t>vivax</w:t>
      </w:r>
      <w:proofErr w:type="spellEnd"/>
      <w:r w:rsidR="004F7BC9" w:rsidRPr="00247139">
        <w:rPr>
          <w:szCs w:val="22"/>
        </w:rPr>
        <w:t xml:space="preserve"> malaria</w:t>
      </w:r>
      <w:r w:rsidR="00247139" w:rsidRPr="00247139">
        <w:rPr>
          <w:szCs w:val="22"/>
        </w:rPr>
        <w:t xml:space="preserve"> (in combination with </w:t>
      </w:r>
      <w:proofErr w:type="spellStart"/>
      <w:r w:rsidR="00247139" w:rsidRPr="00247139">
        <w:rPr>
          <w:szCs w:val="22"/>
        </w:rPr>
        <w:t>primaquine</w:t>
      </w:r>
      <w:proofErr w:type="spellEnd"/>
      <w:r w:rsidR="00247139" w:rsidRPr="00247139">
        <w:rPr>
          <w:szCs w:val="22"/>
        </w:rPr>
        <w:t xml:space="preserve">) in </w:t>
      </w:r>
      <w:proofErr w:type="spellStart"/>
      <w:r w:rsidR="00247139" w:rsidRPr="00247139">
        <w:rPr>
          <w:szCs w:val="22"/>
        </w:rPr>
        <w:t>chloroquine</w:t>
      </w:r>
      <w:proofErr w:type="spellEnd"/>
      <w:r w:rsidR="00247139" w:rsidRPr="00247139">
        <w:rPr>
          <w:szCs w:val="22"/>
        </w:rPr>
        <w:t xml:space="preserve">-resistant </w:t>
      </w:r>
      <w:r w:rsidR="00247139">
        <w:rPr>
          <w:szCs w:val="22"/>
        </w:rPr>
        <w:t>areas</w:t>
      </w:r>
    </w:p>
    <w:p w14:paraId="6A58E4FC" w14:textId="77777777" w:rsidR="006557E3" w:rsidRPr="00B968AE" w:rsidRDefault="006557E3" w:rsidP="003141DC">
      <w:pPr>
        <w:tabs>
          <w:tab w:val="left" w:pos="5910"/>
        </w:tabs>
        <w:rPr>
          <w:szCs w:val="22"/>
        </w:rPr>
      </w:pPr>
    </w:p>
    <w:p w14:paraId="23F34402" w14:textId="7FF85E9F" w:rsidR="0079503B" w:rsidRDefault="00E04A87" w:rsidP="0079503B">
      <w:pPr>
        <w:autoSpaceDE w:val="0"/>
        <w:autoSpaceDN w:val="0"/>
        <w:adjustRightInd w:val="0"/>
        <w:rPr>
          <w:szCs w:val="22"/>
        </w:rPr>
      </w:pPr>
      <w:r w:rsidRPr="00B968AE">
        <w:rPr>
          <w:szCs w:val="22"/>
        </w:rPr>
        <w:t>Official guidelines and local information on the prevalence of resistance to</w:t>
      </w:r>
      <w:r w:rsidR="001F696C" w:rsidRPr="00B968AE">
        <w:rPr>
          <w:szCs w:val="22"/>
        </w:rPr>
        <w:t xml:space="preserve"> </w:t>
      </w:r>
      <w:r w:rsidRPr="00B968AE">
        <w:rPr>
          <w:szCs w:val="22"/>
        </w:rPr>
        <w:t xml:space="preserve">antimalarial drugs should be taken into consideration. </w:t>
      </w:r>
      <w:r w:rsidR="00594625" w:rsidRPr="00B968AE">
        <w:rPr>
          <w:szCs w:val="22"/>
        </w:rPr>
        <w:t>For detail</w:t>
      </w:r>
      <w:r w:rsidR="009842C8" w:rsidRPr="00B968AE">
        <w:rPr>
          <w:szCs w:val="22"/>
        </w:rPr>
        <w:t xml:space="preserve"> information regarding drug for malaria treatment</w:t>
      </w:r>
      <w:r w:rsidR="00594625" w:rsidRPr="00B968AE">
        <w:rPr>
          <w:szCs w:val="22"/>
        </w:rPr>
        <w:t xml:space="preserve"> in the United States, </w:t>
      </w:r>
      <w:r w:rsidR="006557E3" w:rsidRPr="00B968AE">
        <w:rPr>
          <w:szCs w:val="22"/>
        </w:rPr>
        <w:t>please refer to the following link</w:t>
      </w:r>
      <w:r w:rsidR="001F696C" w:rsidRPr="00B968AE">
        <w:rPr>
          <w:szCs w:val="22"/>
        </w:rPr>
        <w:t xml:space="preserve"> </w:t>
      </w:r>
      <w:hyperlink r:id="rId13" w:history="1">
        <w:r w:rsidR="0044522D" w:rsidRPr="00B968AE">
          <w:rPr>
            <w:rStyle w:val="Hyperlink"/>
            <w:color w:val="auto"/>
            <w:szCs w:val="22"/>
          </w:rPr>
          <w:t>http://www.cdc.gov/malaria/resources/pdf/treatmenttable.pdf</w:t>
        </w:r>
      </w:hyperlink>
      <w:r w:rsidR="00D47A31">
        <w:rPr>
          <w:szCs w:val="22"/>
        </w:rPr>
        <w:t xml:space="preserve"> </w:t>
      </w:r>
    </w:p>
    <w:p w14:paraId="6EA5822B" w14:textId="77777777" w:rsidR="0079503B" w:rsidRDefault="0079503B" w:rsidP="0079503B">
      <w:pPr>
        <w:autoSpaceDE w:val="0"/>
        <w:autoSpaceDN w:val="0"/>
        <w:adjustRightInd w:val="0"/>
        <w:rPr>
          <w:szCs w:val="22"/>
        </w:rPr>
      </w:pPr>
    </w:p>
    <w:p w14:paraId="73116396" w14:textId="4684C5CF" w:rsidR="00C0294D" w:rsidRPr="0079503B" w:rsidRDefault="00C0294D" w:rsidP="0079503B">
      <w:pPr>
        <w:autoSpaceDE w:val="0"/>
        <w:autoSpaceDN w:val="0"/>
        <w:adjustRightInd w:val="0"/>
        <w:rPr>
          <w:b/>
          <w:szCs w:val="22"/>
          <w:u w:val="single"/>
        </w:rPr>
      </w:pPr>
      <w:r w:rsidRPr="0079503B">
        <w:rPr>
          <w:b/>
          <w:szCs w:val="22"/>
          <w:u w:val="single"/>
        </w:rPr>
        <w:t>Potential Off-label Uses</w:t>
      </w:r>
    </w:p>
    <w:p w14:paraId="7D266F4B" w14:textId="77777777" w:rsidR="007B26BC" w:rsidRPr="00B968AE" w:rsidRDefault="007B26BC" w:rsidP="007B26BC">
      <w:pPr>
        <w:rPr>
          <w:szCs w:val="22"/>
        </w:rPr>
      </w:pPr>
      <w:r w:rsidRPr="00B968AE">
        <w:rPr>
          <w:szCs w:val="22"/>
        </w:rPr>
        <w:t xml:space="preserve">This section is not intended to promote any off-label uses. Off-label use should be evidence-based. See VA PBM-MAP and Center for Medication Safety’s </w:t>
      </w:r>
      <w:hyperlink r:id="rId14" w:history="1">
        <w:r w:rsidRPr="00B968AE">
          <w:rPr>
            <w:rStyle w:val="Hyperlink"/>
            <w:szCs w:val="22"/>
          </w:rPr>
          <w:t>Guidance on “Off-label” Prescribing</w:t>
        </w:r>
      </w:hyperlink>
      <w:r w:rsidRPr="00B968AE">
        <w:rPr>
          <w:szCs w:val="22"/>
        </w:rPr>
        <w:t xml:space="preserve"> (available on the VA PBM Intranet site only).</w:t>
      </w:r>
    </w:p>
    <w:p w14:paraId="46888F8D" w14:textId="77777777" w:rsidR="000F41F4" w:rsidRPr="00B968AE" w:rsidRDefault="000F41F4" w:rsidP="000F41F4">
      <w:pPr>
        <w:rPr>
          <w:szCs w:val="22"/>
        </w:rPr>
      </w:pPr>
    </w:p>
    <w:p w14:paraId="7FF7DF13" w14:textId="16787363" w:rsidR="002326CF" w:rsidRPr="00B968AE" w:rsidRDefault="00555A10" w:rsidP="000F41F4">
      <w:pPr>
        <w:rPr>
          <w:color w:val="25282A"/>
          <w:szCs w:val="22"/>
        </w:rPr>
      </w:pPr>
      <w:r w:rsidRPr="00B968AE">
        <w:rPr>
          <w:color w:val="25282A"/>
          <w:szCs w:val="22"/>
        </w:rPr>
        <w:t xml:space="preserve">According to clinicaltrials.gov, there </w:t>
      </w:r>
      <w:r w:rsidR="0016643D">
        <w:rPr>
          <w:color w:val="25282A"/>
          <w:szCs w:val="22"/>
        </w:rPr>
        <w:t>are</w:t>
      </w:r>
      <w:r w:rsidR="00665E7C">
        <w:rPr>
          <w:color w:val="25282A"/>
          <w:szCs w:val="22"/>
        </w:rPr>
        <w:t xml:space="preserve"> </w:t>
      </w:r>
      <w:r w:rsidR="00FC168B" w:rsidRPr="00B968AE">
        <w:rPr>
          <w:color w:val="25282A"/>
          <w:szCs w:val="22"/>
        </w:rPr>
        <w:t>no on-going clinical trial</w:t>
      </w:r>
      <w:r w:rsidR="0016643D">
        <w:rPr>
          <w:color w:val="25282A"/>
          <w:szCs w:val="22"/>
        </w:rPr>
        <w:t>s</w:t>
      </w:r>
      <w:r w:rsidRPr="00B968AE">
        <w:rPr>
          <w:color w:val="25282A"/>
          <w:szCs w:val="22"/>
        </w:rPr>
        <w:t xml:space="preserve"> evaluating at</w:t>
      </w:r>
      <w:r w:rsidR="00AA69D7" w:rsidRPr="00B968AE">
        <w:rPr>
          <w:color w:val="25282A"/>
          <w:szCs w:val="22"/>
        </w:rPr>
        <w:t xml:space="preserve">ovaquone/proguanil for other </w:t>
      </w:r>
      <w:r w:rsidR="00530717" w:rsidRPr="00B968AE">
        <w:rPr>
          <w:color w:val="25282A"/>
          <w:szCs w:val="22"/>
        </w:rPr>
        <w:t>indications</w:t>
      </w:r>
      <w:r w:rsidR="00DD6780" w:rsidRPr="00B968AE">
        <w:rPr>
          <w:color w:val="25282A"/>
          <w:szCs w:val="22"/>
        </w:rPr>
        <w:t>.</w:t>
      </w:r>
    </w:p>
    <w:p w14:paraId="62875FAE" w14:textId="53FA1382" w:rsidR="002F7229" w:rsidRPr="00B968AE" w:rsidRDefault="00537E8D" w:rsidP="00F62352">
      <w:pPr>
        <w:pStyle w:val="Heading1"/>
        <w:rPr>
          <w:rFonts w:ascii="Times New Roman" w:hAnsi="Times New Roman"/>
          <w:szCs w:val="22"/>
        </w:rPr>
      </w:pPr>
      <w:r w:rsidRPr="00B968AE">
        <w:rPr>
          <w:rFonts w:ascii="Times New Roman" w:hAnsi="Times New Roman"/>
          <w:szCs w:val="22"/>
        </w:rPr>
        <w:t>Current VA National Formulary Alternatives</w:t>
      </w:r>
      <w:r w:rsidR="00E06C8F" w:rsidRPr="00B968AE">
        <w:rPr>
          <w:rFonts w:ascii="Times New Roman" w:hAnsi="Times New Roman"/>
          <w:b w:val="0"/>
          <w:szCs w:val="22"/>
          <w:u w:val="none"/>
          <w:vertAlign w:val="superscript"/>
        </w:rPr>
        <w:t>1</w:t>
      </w:r>
      <w:r w:rsidR="000A562C" w:rsidRPr="00B968AE">
        <w:rPr>
          <w:rFonts w:ascii="Times New Roman" w:hAnsi="Times New Roman"/>
          <w:b w:val="0"/>
          <w:szCs w:val="22"/>
          <w:u w:val="none"/>
          <w:vertAlign w:val="superscript"/>
        </w:rPr>
        <w:t>,</w:t>
      </w:r>
      <w:r w:rsidR="000A562C">
        <w:rPr>
          <w:rFonts w:ascii="Times New Roman" w:hAnsi="Times New Roman"/>
          <w:b w:val="0"/>
          <w:szCs w:val="22"/>
          <w:u w:val="none"/>
          <w:vertAlign w:val="superscript"/>
        </w:rPr>
        <w:t xml:space="preserve"> 11</w:t>
      </w:r>
      <w:r w:rsidR="00E7153A">
        <w:rPr>
          <w:rFonts w:ascii="Times New Roman" w:hAnsi="Times New Roman"/>
          <w:b w:val="0"/>
          <w:szCs w:val="22"/>
          <w:u w:val="none"/>
          <w:vertAlign w:val="superscript"/>
        </w:rPr>
        <w:t>-12</w:t>
      </w:r>
    </w:p>
    <w:p w14:paraId="460CD01A" w14:textId="7C93FE91" w:rsidR="00FA0674" w:rsidRPr="00FD4407" w:rsidRDefault="00334ED7" w:rsidP="00FA0674">
      <w:pPr>
        <w:rPr>
          <w:bCs/>
          <w:szCs w:val="22"/>
        </w:rPr>
      </w:pPr>
      <w:proofErr w:type="spellStart"/>
      <w:proofErr w:type="gramStart"/>
      <w:r>
        <w:rPr>
          <w:bCs/>
          <w:szCs w:val="22"/>
        </w:rPr>
        <w:t>C</w:t>
      </w:r>
      <w:r w:rsidRPr="00B968AE">
        <w:rPr>
          <w:bCs/>
          <w:szCs w:val="22"/>
        </w:rPr>
        <w:t>hlo</w:t>
      </w:r>
      <w:r w:rsidR="00CA4794">
        <w:rPr>
          <w:bCs/>
          <w:szCs w:val="22"/>
        </w:rPr>
        <w:t>roquine</w:t>
      </w:r>
      <w:proofErr w:type="spellEnd"/>
      <w:r w:rsidR="00CA4794">
        <w:rPr>
          <w:bCs/>
          <w:szCs w:val="22"/>
        </w:rPr>
        <w:t xml:space="preserve">, </w:t>
      </w:r>
      <w:r w:rsidRPr="00FA0674">
        <w:rPr>
          <w:bCs/>
          <w:szCs w:val="22"/>
        </w:rPr>
        <w:t>D</w:t>
      </w:r>
      <w:r w:rsidR="002C3FB4" w:rsidRPr="00FA0674">
        <w:rPr>
          <w:bCs/>
          <w:szCs w:val="22"/>
        </w:rPr>
        <w:t>oxycycline and</w:t>
      </w:r>
      <w:r w:rsidRPr="00FA0674">
        <w:rPr>
          <w:bCs/>
          <w:szCs w:val="22"/>
        </w:rPr>
        <w:t xml:space="preserve"> </w:t>
      </w:r>
      <w:proofErr w:type="spellStart"/>
      <w:r w:rsidRPr="00FA0674">
        <w:rPr>
          <w:bCs/>
          <w:szCs w:val="22"/>
        </w:rPr>
        <w:t>P</w:t>
      </w:r>
      <w:r w:rsidR="00064D88" w:rsidRPr="00FA0674">
        <w:rPr>
          <w:bCs/>
          <w:szCs w:val="22"/>
        </w:rPr>
        <w:t>rima</w:t>
      </w:r>
      <w:r w:rsidR="00F52F90" w:rsidRPr="00FA0674">
        <w:rPr>
          <w:bCs/>
          <w:szCs w:val="22"/>
        </w:rPr>
        <w:t>quine</w:t>
      </w:r>
      <w:proofErr w:type="spellEnd"/>
      <w:r w:rsidR="00FA0674">
        <w:rPr>
          <w:bCs/>
          <w:szCs w:val="22"/>
        </w:rPr>
        <w:t>.</w:t>
      </w:r>
      <w:proofErr w:type="gramEnd"/>
      <w:r w:rsidR="00FA0674">
        <w:rPr>
          <w:bCs/>
          <w:szCs w:val="22"/>
        </w:rPr>
        <w:t xml:space="preserve">  </w:t>
      </w:r>
      <w:r w:rsidR="00FD4407">
        <w:rPr>
          <w:bCs/>
          <w:szCs w:val="22"/>
        </w:rPr>
        <w:t xml:space="preserve">Please note that </w:t>
      </w:r>
      <w:proofErr w:type="spellStart"/>
      <w:r w:rsidR="00FD4407">
        <w:t>p</w:t>
      </w:r>
      <w:r w:rsidR="00866A76" w:rsidRPr="00FA0674">
        <w:t>rimaquine</w:t>
      </w:r>
      <w:proofErr w:type="spellEnd"/>
      <w:r w:rsidR="00866A76" w:rsidRPr="00FA0674">
        <w:t xml:space="preserve"> can cause hemolytic anemia in persons with glucose-6-phosphate dehydrogenase (G6PD) deficiency</w:t>
      </w:r>
      <w:r w:rsidR="00FA0674">
        <w:t xml:space="preserve">; </w:t>
      </w:r>
      <w:r w:rsidR="00FA0674" w:rsidRPr="00FA0674">
        <w:t xml:space="preserve">Patients must be screened for G6PD deficiency prior to starting </w:t>
      </w:r>
      <w:proofErr w:type="spellStart"/>
      <w:r w:rsidR="00FA0674" w:rsidRPr="00FA0674">
        <w:t>primaquine</w:t>
      </w:r>
      <w:proofErr w:type="spellEnd"/>
      <w:r w:rsidR="00753292">
        <w:t>.</w:t>
      </w:r>
    </w:p>
    <w:p w14:paraId="7796D0C7" w14:textId="77777777" w:rsidR="00527846" w:rsidRDefault="00527846" w:rsidP="009E4E80">
      <w:pPr>
        <w:rPr>
          <w:bCs/>
          <w:szCs w:val="22"/>
        </w:rPr>
      </w:pPr>
    </w:p>
    <w:p w14:paraId="4F308E51" w14:textId="1BD0E158" w:rsidR="00753292" w:rsidRPr="00753292" w:rsidRDefault="00E04780" w:rsidP="00753292">
      <w:pPr>
        <w:pStyle w:val="Default"/>
        <w:rPr>
          <w:sz w:val="22"/>
          <w:szCs w:val="22"/>
        </w:rPr>
      </w:pPr>
      <w:r w:rsidRPr="00866A76">
        <w:rPr>
          <w:bCs/>
          <w:sz w:val="22"/>
          <w:szCs w:val="22"/>
        </w:rPr>
        <w:t xml:space="preserve">Non-formulary Options:  </w:t>
      </w:r>
      <w:r w:rsidR="00BC79A9" w:rsidRPr="00866A76">
        <w:rPr>
          <w:bCs/>
          <w:sz w:val="22"/>
          <w:szCs w:val="22"/>
        </w:rPr>
        <w:t>On July 29</w:t>
      </w:r>
      <w:r w:rsidR="00F52F90" w:rsidRPr="00866A76">
        <w:rPr>
          <w:bCs/>
          <w:sz w:val="22"/>
          <w:szCs w:val="22"/>
        </w:rPr>
        <w:t>, 2013</w:t>
      </w:r>
      <w:r w:rsidR="00BC79A9" w:rsidRPr="00866A76">
        <w:rPr>
          <w:bCs/>
          <w:sz w:val="22"/>
          <w:szCs w:val="22"/>
        </w:rPr>
        <w:t xml:space="preserve">, FDA notified healthcare professionals of a new box warning added to the prescribing information of mefloquine. The box warning </w:t>
      </w:r>
      <w:r w:rsidR="007A2E73" w:rsidRPr="00866A76">
        <w:rPr>
          <w:bCs/>
          <w:sz w:val="22"/>
          <w:szCs w:val="22"/>
        </w:rPr>
        <w:t>states that “</w:t>
      </w:r>
      <w:r w:rsidR="00BC79A9" w:rsidRPr="00866A76">
        <w:rPr>
          <w:bCs/>
          <w:sz w:val="22"/>
          <w:szCs w:val="22"/>
        </w:rPr>
        <w:t xml:space="preserve">mefloquine can cause neurologic and psychiatric side effects which can occur at any time during </w:t>
      </w:r>
      <w:r w:rsidR="00F62352" w:rsidRPr="00866A76">
        <w:rPr>
          <w:bCs/>
          <w:sz w:val="22"/>
          <w:szCs w:val="22"/>
        </w:rPr>
        <w:t>drug</w:t>
      </w:r>
      <w:r w:rsidR="00BC79A9" w:rsidRPr="00866A76">
        <w:rPr>
          <w:bCs/>
          <w:sz w:val="22"/>
          <w:szCs w:val="22"/>
        </w:rPr>
        <w:t xml:space="preserve"> use, and can last for months to years after drug </w:t>
      </w:r>
      <w:r w:rsidR="00064D88" w:rsidRPr="00866A76">
        <w:rPr>
          <w:bCs/>
          <w:sz w:val="22"/>
          <w:szCs w:val="22"/>
        </w:rPr>
        <w:t>is stopped or can be permanent</w:t>
      </w:r>
      <w:r w:rsidR="007A2E73" w:rsidRPr="00866A76">
        <w:rPr>
          <w:bCs/>
          <w:sz w:val="22"/>
          <w:szCs w:val="22"/>
        </w:rPr>
        <w:t>”</w:t>
      </w:r>
      <w:r w:rsidR="00064D88" w:rsidRPr="00866A76">
        <w:rPr>
          <w:bCs/>
          <w:sz w:val="22"/>
          <w:szCs w:val="22"/>
        </w:rPr>
        <w:t xml:space="preserve">; </w:t>
      </w:r>
      <w:r w:rsidR="00BC79A9" w:rsidRPr="00866A76">
        <w:rPr>
          <w:bCs/>
          <w:sz w:val="22"/>
          <w:szCs w:val="22"/>
        </w:rPr>
        <w:t>therefore,</w:t>
      </w:r>
      <w:r w:rsidR="00F62352" w:rsidRPr="00866A76">
        <w:rPr>
          <w:bCs/>
          <w:sz w:val="22"/>
          <w:szCs w:val="22"/>
        </w:rPr>
        <w:t xml:space="preserve"> mefloquine</w:t>
      </w:r>
      <w:r w:rsidR="00BC79A9" w:rsidRPr="00866A76">
        <w:rPr>
          <w:bCs/>
          <w:sz w:val="22"/>
          <w:szCs w:val="22"/>
        </w:rPr>
        <w:t xml:space="preserve"> drug label states that it should not be prescribed to prevent malaria in </w:t>
      </w:r>
      <w:r w:rsidR="00F52F90" w:rsidRPr="00866A76">
        <w:rPr>
          <w:bCs/>
          <w:sz w:val="22"/>
          <w:szCs w:val="22"/>
        </w:rPr>
        <w:t>patients</w:t>
      </w:r>
      <w:r w:rsidR="00BC79A9" w:rsidRPr="00866A76">
        <w:rPr>
          <w:bCs/>
          <w:sz w:val="22"/>
          <w:szCs w:val="22"/>
        </w:rPr>
        <w:t xml:space="preserve"> with major psychiatric disorders or with a history of seizure. Detail information can be found on </w:t>
      </w:r>
      <w:hyperlink r:id="rId15" w:history="1">
        <w:r w:rsidR="00BC79A9" w:rsidRPr="00866A76">
          <w:rPr>
            <w:rStyle w:val="Hyperlink"/>
            <w:bCs/>
            <w:sz w:val="22"/>
            <w:szCs w:val="22"/>
          </w:rPr>
          <w:t>http://www.fda.gov/drugs/drugsafety/ucm362227.htm</w:t>
        </w:r>
      </w:hyperlink>
      <w:r w:rsidR="00BC79A9" w:rsidRPr="00866A76">
        <w:rPr>
          <w:bCs/>
          <w:sz w:val="22"/>
          <w:szCs w:val="22"/>
        </w:rPr>
        <w:t xml:space="preserve">. </w:t>
      </w:r>
      <w:r w:rsidR="00753292" w:rsidRPr="00753292">
        <w:rPr>
          <w:bCs/>
          <w:sz w:val="22"/>
          <w:szCs w:val="22"/>
        </w:rPr>
        <w:t xml:space="preserve">The </w:t>
      </w:r>
      <w:r w:rsidR="00247139" w:rsidRPr="00753292">
        <w:rPr>
          <w:bCs/>
          <w:sz w:val="22"/>
          <w:szCs w:val="22"/>
        </w:rPr>
        <w:t xml:space="preserve">CDC </w:t>
      </w:r>
      <w:r w:rsidR="00753292">
        <w:rPr>
          <w:bCs/>
          <w:sz w:val="22"/>
          <w:szCs w:val="22"/>
        </w:rPr>
        <w:t xml:space="preserve">Guidelines for Treatment of </w:t>
      </w:r>
      <w:r w:rsidR="00753292" w:rsidRPr="00753292">
        <w:rPr>
          <w:bCs/>
          <w:sz w:val="22"/>
          <w:szCs w:val="22"/>
        </w:rPr>
        <w:t xml:space="preserve">Malaria state </w:t>
      </w:r>
      <w:r w:rsidR="00247139" w:rsidRPr="00753292">
        <w:rPr>
          <w:bCs/>
          <w:sz w:val="22"/>
          <w:szCs w:val="22"/>
        </w:rPr>
        <w:t>“</w:t>
      </w:r>
      <w:r w:rsidR="00247139" w:rsidRPr="00753292">
        <w:rPr>
          <w:sz w:val="22"/>
          <w:szCs w:val="22"/>
        </w:rPr>
        <w:t>Because of a higher rate of severe neuropsychiatric reactions seen at treatment doses, we do not recommend option D (mefloquine) unless the other options cannot be used</w:t>
      </w:r>
      <w:r w:rsidR="00753292" w:rsidRPr="00753292">
        <w:rPr>
          <w:sz w:val="22"/>
          <w:szCs w:val="22"/>
        </w:rPr>
        <w:t xml:space="preserve">” </w:t>
      </w:r>
      <w:r w:rsidR="00753292">
        <w:rPr>
          <w:sz w:val="22"/>
          <w:szCs w:val="22"/>
        </w:rPr>
        <w:t>for the t</w:t>
      </w:r>
      <w:r w:rsidR="00753292" w:rsidRPr="00753292">
        <w:rPr>
          <w:sz w:val="22"/>
          <w:szCs w:val="22"/>
        </w:rPr>
        <w:t xml:space="preserve">reatment of uncomplicated </w:t>
      </w:r>
      <w:r w:rsidR="00753292" w:rsidRPr="00753292">
        <w:rPr>
          <w:i/>
          <w:sz w:val="22"/>
          <w:szCs w:val="22"/>
        </w:rPr>
        <w:t>P</w:t>
      </w:r>
      <w:r w:rsidR="00753292" w:rsidRPr="00753292">
        <w:rPr>
          <w:sz w:val="22"/>
          <w:szCs w:val="22"/>
        </w:rPr>
        <w:t xml:space="preserve">. </w:t>
      </w:r>
      <w:r w:rsidR="00753292" w:rsidRPr="00753292">
        <w:rPr>
          <w:i/>
          <w:sz w:val="22"/>
          <w:szCs w:val="22"/>
        </w:rPr>
        <w:t>falciparum</w:t>
      </w:r>
      <w:r w:rsidR="00753292" w:rsidRPr="00753292">
        <w:rPr>
          <w:sz w:val="22"/>
          <w:szCs w:val="22"/>
        </w:rPr>
        <w:t xml:space="preserve"> malaria </w:t>
      </w:r>
      <w:r w:rsidR="00753292">
        <w:rPr>
          <w:sz w:val="22"/>
          <w:szCs w:val="22"/>
        </w:rPr>
        <w:t>(</w:t>
      </w:r>
      <w:r w:rsidR="00753292" w:rsidRPr="00753292">
        <w:rPr>
          <w:sz w:val="22"/>
          <w:szCs w:val="22"/>
        </w:rPr>
        <w:t>or species that were not identified</w:t>
      </w:r>
      <w:r w:rsidR="00753292">
        <w:rPr>
          <w:sz w:val="22"/>
          <w:szCs w:val="22"/>
        </w:rPr>
        <w:t>)</w:t>
      </w:r>
      <w:r w:rsidR="00753292" w:rsidRPr="00753292">
        <w:rPr>
          <w:sz w:val="22"/>
          <w:szCs w:val="22"/>
        </w:rPr>
        <w:t xml:space="preserve"> in chloroquine-resistant or areas with unknown resistance</w:t>
      </w:r>
      <w:r w:rsidR="00753292">
        <w:rPr>
          <w:sz w:val="22"/>
          <w:szCs w:val="22"/>
        </w:rPr>
        <w:t>.</w:t>
      </w:r>
      <w:r w:rsidR="00753292" w:rsidRPr="00753292">
        <w:rPr>
          <w:szCs w:val="22"/>
        </w:rPr>
        <w:t xml:space="preserve"> </w:t>
      </w:r>
    </w:p>
    <w:p w14:paraId="2B6D1141" w14:textId="28357781" w:rsidR="003C763F" w:rsidRPr="00B968AE" w:rsidRDefault="00247139" w:rsidP="009E4E80">
      <w:pPr>
        <w:rPr>
          <w:bCs/>
          <w:szCs w:val="22"/>
        </w:rPr>
      </w:pPr>
      <w:r w:rsidRPr="00866A76">
        <w:rPr>
          <w:szCs w:val="22"/>
        </w:rPr>
        <w:t xml:space="preserve"> </w:t>
      </w:r>
    </w:p>
    <w:p w14:paraId="74235FCC" w14:textId="5FC6A2CE" w:rsidR="00056D4C" w:rsidRDefault="00F52F90" w:rsidP="00056D4C">
      <w:pPr>
        <w:rPr>
          <w:bCs/>
          <w:szCs w:val="22"/>
        </w:rPr>
      </w:pPr>
      <w:r w:rsidRPr="00B968AE">
        <w:rPr>
          <w:szCs w:val="22"/>
        </w:rPr>
        <w:t xml:space="preserve">Of note, </w:t>
      </w:r>
      <w:r w:rsidR="00527846">
        <w:rPr>
          <w:szCs w:val="22"/>
        </w:rPr>
        <w:t>a</w:t>
      </w:r>
      <w:r w:rsidR="00F62352" w:rsidRPr="00B968AE">
        <w:rPr>
          <w:szCs w:val="22"/>
        </w:rPr>
        <w:t xml:space="preserve">tovaquone alone is available on formulary; however, atovaquone </w:t>
      </w:r>
      <w:r w:rsidR="00527846">
        <w:rPr>
          <w:szCs w:val="22"/>
        </w:rPr>
        <w:t xml:space="preserve">is </w:t>
      </w:r>
      <w:r w:rsidR="00F62352" w:rsidRPr="00B968AE">
        <w:rPr>
          <w:szCs w:val="22"/>
        </w:rPr>
        <w:t>FDA-approved</w:t>
      </w:r>
      <w:r w:rsidR="007A2E73">
        <w:rPr>
          <w:szCs w:val="22"/>
        </w:rPr>
        <w:t xml:space="preserve"> only for</w:t>
      </w:r>
      <w:r w:rsidR="007C0101">
        <w:rPr>
          <w:szCs w:val="22"/>
        </w:rPr>
        <w:t xml:space="preserve"> </w:t>
      </w:r>
      <w:r w:rsidR="00F62352" w:rsidRPr="00B968AE">
        <w:rPr>
          <w:szCs w:val="22"/>
        </w:rPr>
        <w:t xml:space="preserve">prophylaxis or treatment of mild-moderate </w:t>
      </w:r>
      <w:r w:rsidR="00F62352" w:rsidRPr="00B968AE">
        <w:rPr>
          <w:bCs/>
          <w:i/>
          <w:iCs/>
          <w:szCs w:val="22"/>
        </w:rPr>
        <w:t xml:space="preserve">pneumocystis </w:t>
      </w:r>
      <w:proofErr w:type="spellStart"/>
      <w:r w:rsidR="00F62352" w:rsidRPr="00B968AE">
        <w:rPr>
          <w:bCs/>
          <w:i/>
          <w:iCs/>
          <w:szCs w:val="22"/>
        </w:rPr>
        <w:t>jirovecii</w:t>
      </w:r>
      <w:proofErr w:type="spellEnd"/>
      <w:r w:rsidR="00F62352" w:rsidRPr="00B968AE">
        <w:rPr>
          <w:bCs/>
          <w:szCs w:val="22"/>
        </w:rPr>
        <w:t xml:space="preserve"> pneumonia. </w:t>
      </w:r>
      <w:r w:rsidR="00665E7C">
        <w:rPr>
          <w:bCs/>
          <w:szCs w:val="22"/>
        </w:rPr>
        <w:t>T</w:t>
      </w:r>
      <w:r w:rsidR="00056D4C">
        <w:rPr>
          <w:bCs/>
          <w:szCs w:val="22"/>
        </w:rPr>
        <w:t>he CDC does not recommend atovaquone</w:t>
      </w:r>
      <w:r w:rsidR="00056D4C" w:rsidRPr="00B968AE">
        <w:rPr>
          <w:bCs/>
          <w:szCs w:val="22"/>
        </w:rPr>
        <w:t xml:space="preserve"> </w:t>
      </w:r>
      <w:r w:rsidR="00056D4C">
        <w:rPr>
          <w:bCs/>
          <w:szCs w:val="22"/>
        </w:rPr>
        <w:t xml:space="preserve">for neither treatment nor prophylaxis of malaria in their guideline. </w:t>
      </w:r>
    </w:p>
    <w:p w14:paraId="50F04D6B" w14:textId="77777777" w:rsidR="00527846" w:rsidRDefault="00527846" w:rsidP="009E4E80">
      <w:pPr>
        <w:rPr>
          <w:bCs/>
          <w:szCs w:val="22"/>
        </w:rPr>
      </w:pPr>
    </w:p>
    <w:p w14:paraId="2DD6DEDC" w14:textId="77777777" w:rsidR="00527846" w:rsidRPr="00D12066" w:rsidRDefault="00527846" w:rsidP="009E4E80">
      <w:pPr>
        <w:rPr>
          <w:b/>
          <w:bCs/>
          <w:szCs w:val="22"/>
        </w:rPr>
      </w:pPr>
      <w:r w:rsidRPr="00D12066">
        <w:rPr>
          <w:b/>
          <w:bCs/>
          <w:szCs w:val="22"/>
        </w:rPr>
        <w:t>Prevention Considerations</w:t>
      </w:r>
    </w:p>
    <w:p w14:paraId="606574CD" w14:textId="32C46FF0" w:rsidR="00527846" w:rsidRPr="00527846" w:rsidRDefault="005A7CB0" w:rsidP="00527846">
      <w:pPr>
        <w:pStyle w:val="ListParagraph"/>
        <w:numPr>
          <w:ilvl w:val="0"/>
          <w:numId w:val="43"/>
        </w:numPr>
        <w:rPr>
          <w:bCs/>
          <w:szCs w:val="22"/>
        </w:rPr>
      </w:pPr>
      <w:r w:rsidRPr="00527846">
        <w:rPr>
          <w:bCs/>
          <w:szCs w:val="22"/>
        </w:rPr>
        <w:t xml:space="preserve">When choosing a </w:t>
      </w:r>
      <w:r w:rsidR="00074471">
        <w:rPr>
          <w:bCs/>
          <w:szCs w:val="22"/>
        </w:rPr>
        <w:t xml:space="preserve">drug to prevent malaria, several </w:t>
      </w:r>
      <w:r w:rsidRPr="00527846">
        <w:rPr>
          <w:bCs/>
          <w:szCs w:val="22"/>
        </w:rPr>
        <w:t>parameters should be taken in consideration: country of travel, drug-drug interaction,</w:t>
      </w:r>
      <w:r w:rsidR="003C763F" w:rsidRPr="00527846">
        <w:rPr>
          <w:bCs/>
          <w:szCs w:val="22"/>
        </w:rPr>
        <w:t xml:space="preserve"> drug resistance, and</w:t>
      </w:r>
      <w:r w:rsidRPr="00527846">
        <w:rPr>
          <w:bCs/>
          <w:szCs w:val="22"/>
        </w:rPr>
        <w:t xml:space="preserve"> medical contraindications (such as allergies).</w:t>
      </w:r>
      <w:r w:rsidR="00F52F90" w:rsidRPr="00527846">
        <w:rPr>
          <w:szCs w:val="22"/>
        </w:rPr>
        <w:t xml:space="preserve">The </w:t>
      </w:r>
      <w:r w:rsidR="007A2E73">
        <w:rPr>
          <w:szCs w:val="22"/>
        </w:rPr>
        <w:t xml:space="preserve">CDC </w:t>
      </w:r>
      <w:r w:rsidR="003C763F" w:rsidRPr="00527846">
        <w:rPr>
          <w:szCs w:val="22"/>
        </w:rPr>
        <w:t>recommendation of</w:t>
      </w:r>
      <w:r w:rsidR="00BC4353" w:rsidRPr="00527846">
        <w:rPr>
          <w:szCs w:val="22"/>
        </w:rPr>
        <w:t xml:space="preserve"> drugs for</w:t>
      </w:r>
      <w:r w:rsidR="00F52F90" w:rsidRPr="00527846">
        <w:rPr>
          <w:szCs w:val="22"/>
        </w:rPr>
        <w:t xml:space="preserve"> </w:t>
      </w:r>
      <w:r w:rsidR="00790750" w:rsidRPr="00527846">
        <w:rPr>
          <w:szCs w:val="22"/>
        </w:rPr>
        <w:t>malaria prophylaxis</w:t>
      </w:r>
      <w:r w:rsidR="00F52F90" w:rsidRPr="00527846">
        <w:rPr>
          <w:szCs w:val="22"/>
        </w:rPr>
        <w:t xml:space="preserve"> in the United States is available through the CDC website</w:t>
      </w:r>
      <w:r w:rsidR="00790750" w:rsidRPr="00527846">
        <w:rPr>
          <w:szCs w:val="22"/>
        </w:rPr>
        <w:t xml:space="preserve"> </w:t>
      </w:r>
      <w:hyperlink r:id="rId16" w:history="1">
        <w:r w:rsidR="00790750" w:rsidRPr="00527846">
          <w:rPr>
            <w:rStyle w:val="Hyperlink"/>
            <w:szCs w:val="22"/>
          </w:rPr>
          <w:t>http://www.cdc.gov/malaria/travelers/drugs.html</w:t>
        </w:r>
      </w:hyperlink>
      <w:r w:rsidR="00790750" w:rsidRPr="00527846">
        <w:rPr>
          <w:szCs w:val="22"/>
        </w:rPr>
        <w:t xml:space="preserve">.  </w:t>
      </w:r>
    </w:p>
    <w:p w14:paraId="62F72CD1" w14:textId="2F3EBA49" w:rsidR="00F52F90" w:rsidRPr="00527846" w:rsidRDefault="0007547D" w:rsidP="00527846">
      <w:pPr>
        <w:pStyle w:val="ListParagraph"/>
        <w:numPr>
          <w:ilvl w:val="0"/>
          <w:numId w:val="44"/>
        </w:numPr>
        <w:rPr>
          <w:bCs/>
          <w:szCs w:val="22"/>
        </w:rPr>
      </w:pPr>
      <w:r w:rsidRPr="00527846">
        <w:rPr>
          <w:szCs w:val="22"/>
        </w:rPr>
        <w:lastRenderedPageBreak/>
        <w:t xml:space="preserve">Per the CDC, no antimalarial drug is 100% protective and must be combined with the use of personal protective measures (i.e., insect repellent, long sleeves, long pants, sleeping in a mosquito-free setting or using an insecticide-treated </w:t>
      </w:r>
      <w:proofErr w:type="spellStart"/>
      <w:r w:rsidRPr="00527846">
        <w:rPr>
          <w:szCs w:val="22"/>
        </w:rPr>
        <w:t>bednet</w:t>
      </w:r>
      <w:proofErr w:type="spellEnd"/>
      <w:r w:rsidRPr="00527846">
        <w:rPr>
          <w:szCs w:val="22"/>
        </w:rPr>
        <w:t>).</w:t>
      </w:r>
    </w:p>
    <w:p w14:paraId="7B0A34C5" w14:textId="77777777" w:rsidR="00F52F90" w:rsidRPr="00B968AE" w:rsidRDefault="00F52F90" w:rsidP="009E4E80">
      <w:pPr>
        <w:rPr>
          <w:bCs/>
          <w:szCs w:val="22"/>
        </w:rPr>
      </w:pPr>
    </w:p>
    <w:p w14:paraId="512A4F27" w14:textId="77777777" w:rsidR="00527846" w:rsidRPr="00D12066" w:rsidRDefault="00527846" w:rsidP="002D071D">
      <w:pPr>
        <w:autoSpaceDE w:val="0"/>
        <w:autoSpaceDN w:val="0"/>
        <w:adjustRightInd w:val="0"/>
        <w:rPr>
          <w:b/>
          <w:szCs w:val="22"/>
        </w:rPr>
      </w:pPr>
      <w:r w:rsidRPr="00D12066">
        <w:rPr>
          <w:b/>
          <w:szCs w:val="22"/>
        </w:rPr>
        <w:t>Treatment Considerations</w:t>
      </w:r>
    </w:p>
    <w:p w14:paraId="2DF41DD5" w14:textId="77777777" w:rsidR="00527846" w:rsidRDefault="003C763F" w:rsidP="002D071D">
      <w:pPr>
        <w:pStyle w:val="ListParagraph"/>
        <w:numPr>
          <w:ilvl w:val="0"/>
          <w:numId w:val="44"/>
        </w:numPr>
        <w:autoSpaceDE w:val="0"/>
        <w:autoSpaceDN w:val="0"/>
        <w:adjustRightInd w:val="0"/>
        <w:rPr>
          <w:szCs w:val="22"/>
        </w:rPr>
      </w:pPr>
      <w:r w:rsidRPr="00527846">
        <w:rPr>
          <w:szCs w:val="22"/>
        </w:rPr>
        <w:t xml:space="preserve">Treatment of malaria is multifactorial and depends on the type of Plasmodium parasite, the geographic area of infection and drug-resistance status, clinical status, co-morbidities, pregnancy status, drug allergies, and concomitant medications. </w:t>
      </w:r>
    </w:p>
    <w:p w14:paraId="0F0F7E83" w14:textId="2674A262" w:rsidR="00527846" w:rsidRDefault="003C763F" w:rsidP="002D071D">
      <w:pPr>
        <w:pStyle w:val="ListParagraph"/>
        <w:numPr>
          <w:ilvl w:val="0"/>
          <w:numId w:val="44"/>
        </w:numPr>
        <w:autoSpaceDE w:val="0"/>
        <w:autoSpaceDN w:val="0"/>
        <w:adjustRightInd w:val="0"/>
        <w:rPr>
          <w:szCs w:val="22"/>
        </w:rPr>
      </w:pPr>
      <w:r w:rsidRPr="00527846">
        <w:rPr>
          <w:szCs w:val="22"/>
        </w:rPr>
        <w:t xml:space="preserve">CDC treatment algorithm can be found at </w:t>
      </w:r>
      <w:r w:rsidR="00F62352" w:rsidRPr="00527846">
        <w:rPr>
          <w:szCs w:val="22"/>
        </w:rPr>
        <w:t xml:space="preserve">The </w:t>
      </w:r>
      <w:r w:rsidR="002429A6">
        <w:rPr>
          <w:szCs w:val="22"/>
        </w:rPr>
        <w:t xml:space="preserve">CDC </w:t>
      </w:r>
      <w:r w:rsidR="00AA4000" w:rsidRPr="00527846">
        <w:rPr>
          <w:szCs w:val="22"/>
        </w:rPr>
        <w:t xml:space="preserve">Guidelines for </w:t>
      </w:r>
      <w:r w:rsidR="00923FA1" w:rsidRPr="00527846">
        <w:rPr>
          <w:szCs w:val="22"/>
        </w:rPr>
        <w:t xml:space="preserve">drugs for </w:t>
      </w:r>
      <w:r w:rsidR="00AA4000" w:rsidRPr="00527846">
        <w:rPr>
          <w:szCs w:val="22"/>
        </w:rPr>
        <w:t xml:space="preserve">malaria treatment in the United States is available through the CDC website </w:t>
      </w:r>
      <w:hyperlink r:id="rId17" w:history="1">
        <w:r w:rsidR="00AA4000" w:rsidRPr="00527846">
          <w:rPr>
            <w:rStyle w:val="Hyperlink"/>
            <w:szCs w:val="22"/>
          </w:rPr>
          <w:t>http://www.cdc.gov/malaria/diagnosis_treatment/treatment.html</w:t>
        </w:r>
      </w:hyperlink>
      <w:r w:rsidR="00AA4000" w:rsidRPr="00527846">
        <w:rPr>
          <w:szCs w:val="22"/>
        </w:rPr>
        <w:t xml:space="preserve">. </w:t>
      </w:r>
      <w:hyperlink r:id="rId18" w:history="1">
        <w:r w:rsidR="00AA4000" w:rsidRPr="00527846">
          <w:rPr>
            <w:rStyle w:val="Hyperlink"/>
            <w:szCs w:val="22"/>
          </w:rPr>
          <w:t>http://www.cdc.gov/malaria/resources/pdf/algorithm.pdf</w:t>
        </w:r>
      </w:hyperlink>
      <w:r w:rsidR="00AA4000" w:rsidRPr="00527846">
        <w:rPr>
          <w:szCs w:val="22"/>
        </w:rPr>
        <w:t>.</w:t>
      </w:r>
      <w:r w:rsidR="00F52F90" w:rsidRPr="00527846">
        <w:rPr>
          <w:szCs w:val="22"/>
        </w:rPr>
        <w:t xml:space="preserve">  </w:t>
      </w:r>
    </w:p>
    <w:p w14:paraId="68A303E8" w14:textId="63865D98" w:rsidR="002D071D" w:rsidRPr="00527846" w:rsidRDefault="00F52F90" w:rsidP="002D071D">
      <w:pPr>
        <w:pStyle w:val="ListParagraph"/>
        <w:numPr>
          <w:ilvl w:val="0"/>
          <w:numId w:val="44"/>
        </w:numPr>
        <w:autoSpaceDE w:val="0"/>
        <w:autoSpaceDN w:val="0"/>
        <w:adjustRightInd w:val="0"/>
        <w:rPr>
          <w:szCs w:val="22"/>
        </w:rPr>
      </w:pPr>
      <w:r w:rsidRPr="00527846">
        <w:rPr>
          <w:szCs w:val="22"/>
        </w:rPr>
        <w:t xml:space="preserve">CDC clinicians are on-call 24-hours to provide advice to clinicians on the diagnosis and treatment of malaria and can be reached through the Malaria Hotline 770-488-7788 or toll free 855-856-4713. </w:t>
      </w:r>
    </w:p>
    <w:p w14:paraId="0E334B88" w14:textId="59C35BAA" w:rsidR="0051238E" w:rsidRPr="00B968AE" w:rsidRDefault="00537E8D" w:rsidP="006861D8">
      <w:pPr>
        <w:pStyle w:val="Heading1"/>
        <w:rPr>
          <w:rFonts w:ascii="Times New Roman" w:hAnsi="Times New Roman"/>
          <w:szCs w:val="22"/>
        </w:rPr>
      </w:pPr>
      <w:r w:rsidRPr="00B968AE">
        <w:rPr>
          <w:rFonts w:ascii="Times New Roman" w:hAnsi="Times New Roman"/>
          <w:szCs w:val="22"/>
        </w:rPr>
        <w:t>Dosage and Administration</w:t>
      </w:r>
      <w:r w:rsidR="00E11794" w:rsidRPr="00B968AE">
        <w:rPr>
          <w:rFonts w:ascii="Times New Roman" w:hAnsi="Times New Roman"/>
          <w:b w:val="0"/>
          <w:szCs w:val="22"/>
          <w:u w:val="none"/>
          <w:vertAlign w:val="superscript"/>
        </w:rPr>
        <w:t>1</w:t>
      </w:r>
    </w:p>
    <w:tbl>
      <w:tblPr>
        <w:tblStyle w:val="TableGrid"/>
        <w:tblW w:w="0" w:type="auto"/>
        <w:tblLook w:val="04A0" w:firstRow="1" w:lastRow="0" w:firstColumn="1" w:lastColumn="0" w:noHBand="0" w:noVBand="1"/>
      </w:tblPr>
      <w:tblGrid>
        <w:gridCol w:w="1899"/>
        <w:gridCol w:w="7832"/>
      </w:tblGrid>
      <w:tr w:rsidR="0051238E" w:rsidRPr="00B968AE" w14:paraId="6F850120" w14:textId="77777777" w:rsidTr="00E04780">
        <w:trPr>
          <w:trHeight w:val="189"/>
        </w:trPr>
        <w:tc>
          <w:tcPr>
            <w:tcW w:w="1899" w:type="dxa"/>
          </w:tcPr>
          <w:p w14:paraId="2D0FC11B" w14:textId="755BF6ED" w:rsidR="0051238E" w:rsidRPr="00B968AE" w:rsidRDefault="00D655EA" w:rsidP="00D81ED0">
            <w:pPr>
              <w:jc w:val="both"/>
              <w:rPr>
                <w:b/>
                <w:bCs/>
                <w:szCs w:val="22"/>
              </w:rPr>
            </w:pPr>
            <w:r w:rsidRPr="00B968AE">
              <w:rPr>
                <w:b/>
                <w:bCs/>
                <w:szCs w:val="22"/>
              </w:rPr>
              <w:t>Indication</w:t>
            </w:r>
          </w:p>
        </w:tc>
        <w:tc>
          <w:tcPr>
            <w:tcW w:w="7832" w:type="dxa"/>
          </w:tcPr>
          <w:p w14:paraId="506FE3DA" w14:textId="4B1D63B3" w:rsidR="0051238E" w:rsidRPr="00B968AE" w:rsidRDefault="00D655EA" w:rsidP="00D81ED0">
            <w:pPr>
              <w:jc w:val="both"/>
              <w:rPr>
                <w:b/>
                <w:bCs/>
                <w:szCs w:val="22"/>
              </w:rPr>
            </w:pPr>
            <w:r w:rsidRPr="00B968AE">
              <w:rPr>
                <w:b/>
                <w:bCs/>
                <w:szCs w:val="22"/>
              </w:rPr>
              <w:t>Recommended dose</w:t>
            </w:r>
          </w:p>
        </w:tc>
      </w:tr>
      <w:tr w:rsidR="00D655EA" w:rsidRPr="00B968AE" w14:paraId="70633D4E" w14:textId="77777777" w:rsidTr="00E04780">
        <w:trPr>
          <w:trHeight w:val="288"/>
        </w:trPr>
        <w:tc>
          <w:tcPr>
            <w:tcW w:w="1899" w:type="dxa"/>
          </w:tcPr>
          <w:p w14:paraId="5C892E25" w14:textId="12FA5F67" w:rsidR="0051238E" w:rsidRPr="00B968AE" w:rsidRDefault="0051238E" w:rsidP="00D81ED0">
            <w:pPr>
              <w:jc w:val="both"/>
              <w:rPr>
                <w:b/>
                <w:bCs/>
                <w:szCs w:val="22"/>
              </w:rPr>
            </w:pPr>
            <w:r w:rsidRPr="00B968AE">
              <w:rPr>
                <w:b/>
                <w:bCs/>
                <w:szCs w:val="22"/>
              </w:rPr>
              <w:t>Prophylaxis</w:t>
            </w:r>
          </w:p>
        </w:tc>
        <w:tc>
          <w:tcPr>
            <w:tcW w:w="7832" w:type="dxa"/>
          </w:tcPr>
          <w:p w14:paraId="15BC35A8" w14:textId="3C3C90F5" w:rsidR="0051238E" w:rsidRPr="00B968AE" w:rsidRDefault="0051238E" w:rsidP="00D81ED0">
            <w:pPr>
              <w:jc w:val="both"/>
              <w:rPr>
                <w:b/>
                <w:bCs/>
                <w:szCs w:val="22"/>
              </w:rPr>
            </w:pPr>
            <w:r w:rsidRPr="00B968AE">
              <w:rPr>
                <w:szCs w:val="22"/>
              </w:rPr>
              <w:t>Atovaq</w:t>
            </w:r>
            <w:r w:rsidR="00114BBF">
              <w:rPr>
                <w:szCs w:val="22"/>
              </w:rPr>
              <w:t>uone/proguanil 250 mg/100 mg (</w:t>
            </w:r>
            <w:r w:rsidRPr="00B968AE">
              <w:rPr>
                <w:szCs w:val="22"/>
              </w:rPr>
              <w:t xml:space="preserve">1 tablet) by mouth once </w:t>
            </w:r>
            <w:proofErr w:type="spellStart"/>
            <w:r w:rsidRPr="00B968AE">
              <w:rPr>
                <w:szCs w:val="22"/>
              </w:rPr>
              <w:t>daily</w:t>
            </w:r>
            <w:r w:rsidR="00E04780">
              <w:rPr>
                <w:szCs w:val="22"/>
                <w:vertAlign w:val="superscript"/>
              </w:rPr>
              <w:t>a</w:t>
            </w:r>
            <w:proofErr w:type="spellEnd"/>
            <w:r w:rsidRPr="00B968AE">
              <w:rPr>
                <w:szCs w:val="22"/>
              </w:rPr>
              <w:t>; start 1-2 days prior to entering a malaria-endemic area, continue throughout the stay and for 7 days after returning</w:t>
            </w:r>
            <w:r w:rsidR="000D12D2">
              <w:rPr>
                <w:szCs w:val="22"/>
              </w:rPr>
              <w:t>.</w:t>
            </w:r>
          </w:p>
        </w:tc>
      </w:tr>
      <w:tr w:rsidR="0051238E" w:rsidRPr="00B968AE" w14:paraId="780B8E3C" w14:textId="77777777" w:rsidTr="00E04780">
        <w:trPr>
          <w:trHeight w:val="467"/>
        </w:trPr>
        <w:tc>
          <w:tcPr>
            <w:tcW w:w="1899" w:type="dxa"/>
          </w:tcPr>
          <w:p w14:paraId="2A33B9EC" w14:textId="41D1E35E" w:rsidR="0051238E" w:rsidRPr="00B968AE" w:rsidRDefault="0051238E" w:rsidP="00D81ED0">
            <w:pPr>
              <w:jc w:val="both"/>
              <w:rPr>
                <w:b/>
                <w:bCs/>
                <w:szCs w:val="22"/>
              </w:rPr>
            </w:pPr>
            <w:r w:rsidRPr="00B968AE">
              <w:rPr>
                <w:b/>
                <w:bCs/>
                <w:szCs w:val="22"/>
              </w:rPr>
              <w:t>Treatment</w:t>
            </w:r>
          </w:p>
        </w:tc>
        <w:tc>
          <w:tcPr>
            <w:tcW w:w="7832" w:type="dxa"/>
          </w:tcPr>
          <w:p w14:paraId="1D704B75" w14:textId="33AD6313" w:rsidR="0051238E" w:rsidRPr="00B968AE" w:rsidRDefault="0051238E" w:rsidP="00D81ED0">
            <w:pPr>
              <w:jc w:val="both"/>
              <w:rPr>
                <w:b/>
                <w:bCs/>
                <w:szCs w:val="22"/>
              </w:rPr>
            </w:pPr>
            <w:r w:rsidRPr="00B968AE">
              <w:rPr>
                <w:szCs w:val="22"/>
              </w:rPr>
              <w:t>Atovaqu</w:t>
            </w:r>
            <w:r w:rsidR="00114BBF">
              <w:rPr>
                <w:szCs w:val="22"/>
              </w:rPr>
              <w:t>one/proguanil 1000 mg/400 mg (</w:t>
            </w:r>
            <w:r w:rsidRPr="00B968AE">
              <w:rPr>
                <w:szCs w:val="22"/>
              </w:rPr>
              <w:t xml:space="preserve">4 tablets) by mouth as a single </w:t>
            </w:r>
            <w:proofErr w:type="spellStart"/>
            <w:r w:rsidRPr="00B968AE">
              <w:rPr>
                <w:szCs w:val="22"/>
              </w:rPr>
              <w:t>dose</w:t>
            </w:r>
            <w:r w:rsidR="00FD4407">
              <w:rPr>
                <w:szCs w:val="22"/>
                <w:vertAlign w:val="superscript"/>
              </w:rPr>
              <w:t>a</w:t>
            </w:r>
            <w:proofErr w:type="spellEnd"/>
            <w:r w:rsidRPr="00B968AE">
              <w:rPr>
                <w:szCs w:val="22"/>
              </w:rPr>
              <w:t>, once daily for 3 consecutive days.</w:t>
            </w:r>
          </w:p>
        </w:tc>
      </w:tr>
    </w:tbl>
    <w:p w14:paraId="34ED61EE" w14:textId="11D2C679" w:rsidR="00FD4407" w:rsidRPr="00FD4407" w:rsidRDefault="00E04780" w:rsidP="009E4E80">
      <w:pPr>
        <w:rPr>
          <w:szCs w:val="22"/>
        </w:rPr>
      </w:pPr>
      <w:proofErr w:type="spellStart"/>
      <w:proofErr w:type="gramStart"/>
      <w:r>
        <w:rPr>
          <w:szCs w:val="22"/>
          <w:vertAlign w:val="superscript"/>
        </w:rPr>
        <w:t>a</w:t>
      </w:r>
      <w:r w:rsidR="00114BBF" w:rsidRPr="00B968AE">
        <w:rPr>
          <w:szCs w:val="22"/>
        </w:rPr>
        <w:t>Administer</w:t>
      </w:r>
      <w:proofErr w:type="spellEnd"/>
      <w:proofErr w:type="gramEnd"/>
      <w:r w:rsidR="00114BBF" w:rsidRPr="00B968AE">
        <w:rPr>
          <w:szCs w:val="22"/>
        </w:rPr>
        <w:t xml:space="preserve"> with food or milk-based drink at the same time each day. If vomiting occurs within 1 hour of administration, repeat the dose. For patients who have difficulty swallowing tablets, tablets may be crushed and mixed with condensed milk just prior to administration</w:t>
      </w:r>
    </w:p>
    <w:p w14:paraId="3E474582" w14:textId="77777777" w:rsidR="00E0251B" w:rsidRPr="00B968AE" w:rsidRDefault="00E0251B" w:rsidP="00D47A31">
      <w:pPr>
        <w:spacing w:before="40"/>
        <w:rPr>
          <w:b/>
          <w:szCs w:val="22"/>
        </w:rPr>
      </w:pPr>
      <w:r w:rsidRPr="00B968AE">
        <w:rPr>
          <w:b/>
          <w:szCs w:val="22"/>
        </w:rPr>
        <w:t>Renal adjustment:</w:t>
      </w:r>
    </w:p>
    <w:tbl>
      <w:tblPr>
        <w:tblStyle w:val="TableGrid"/>
        <w:tblW w:w="0" w:type="auto"/>
        <w:tblLook w:val="04A0" w:firstRow="1" w:lastRow="0" w:firstColumn="1" w:lastColumn="0" w:noHBand="0" w:noVBand="1"/>
      </w:tblPr>
      <w:tblGrid>
        <w:gridCol w:w="2268"/>
        <w:gridCol w:w="7465"/>
      </w:tblGrid>
      <w:tr w:rsidR="00010CE1" w:rsidRPr="00B968AE" w14:paraId="209F54DF" w14:textId="77777777" w:rsidTr="00114BBF">
        <w:trPr>
          <w:trHeight w:val="249"/>
        </w:trPr>
        <w:tc>
          <w:tcPr>
            <w:tcW w:w="2268" w:type="dxa"/>
          </w:tcPr>
          <w:p w14:paraId="39100313" w14:textId="1CF6C4CB" w:rsidR="00010CE1" w:rsidRPr="00B968AE" w:rsidRDefault="00010CE1" w:rsidP="00D81ED0">
            <w:pPr>
              <w:rPr>
                <w:b/>
                <w:szCs w:val="22"/>
              </w:rPr>
            </w:pPr>
            <w:r w:rsidRPr="00B968AE">
              <w:rPr>
                <w:b/>
                <w:szCs w:val="22"/>
              </w:rPr>
              <w:t xml:space="preserve">Creatinine Clearance </w:t>
            </w:r>
          </w:p>
        </w:tc>
        <w:tc>
          <w:tcPr>
            <w:tcW w:w="7465" w:type="dxa"/>
          </w:tcPr>
          <w:p w14:paraId="3652C6BF" w14:textId="41E87025" w:rsidR="00010CE1" w:rsidRPr="00B968AE" w:rsidRDefault="00010CE1" w:rsidP="00D81ED0">
            <w:pPr>
              <w:rPr>
                <w:b/>
                <w:szCs w:val="22"/>
              </w:rPr>
            </w:pPr>
            <w:r w:rsidRPr="00B968AE">
              <w:rPr>
                <w:b/>
                <w:szCs w:val="22"/>
              </w:rPr>
              <w:t>Dose adjustment</w:t>
            </w:r>
          </w:p>
        </w:tc>
      </w:tr>
      <w:tr w:rsidR="00010CE1" w:rsidRPr="00B968AE" w14:paraId="26B4CE0F" w14:textId="77777777" w:rsidTr="00114BBF">
        <w:trPr>
          <w:trHeight w:val="323"/>
        </w:trPr>
        <w:tc>
          <w:tcPr>
            <w:tcW w:w="2268" w:type="dxa"/>
          </w:tcPr>
          <w:p w14:paraId="1B87AD6E" w14:textId="42A0EBAA" w:rsidR="00010CE1" w:rsidRPr="00B968AE" w:rsidRDefault="00010CE1" w:rsidP="00D81ED0">
            <w:pPr>
              <w:rPr>
                <w:b/>
                <w:szCs w:val="22"/>
              </w:rPr>
            </w:pPr>
            <w:r w:rsidRPr="00B968AE">
              <w:rPr>
                <w:szCs w:val="22"/>
              </w:rPr>
              <w:t>≥30 mL/minute</w:t>
            </w:r>
          </w:p>
        </w:tc>
        <w:tc>
          <w:tcPr>
            <w:tcW w:w="7465" w:type="dxa"/>
          </w:tcPr>
          <w:p w14:paraId="3F151433" w14:textId="057D0B54" w:rsidR="0051238E" w:rsidRPr="00114BBF" w:rsidRDefault="00010CE1" w:rsidP="00D81ED0">
            <w:pPr>
              <w:rPr>
                <w:szCs w:val="22"/>
              </w:rPr>
            </w:pPr>
            <w:r w:rsidRPr="00B968AE">
              <w:rPr>
                <w:szCs w:val="22"/>
              </w:rPr>
              <w:t>No dosage adjustment necessary</w:t>
            </w:r>
          </w:p>
        </w:tc>
      </w:tr>
      <w:tr w:rsidR="00010CE1" w:rsidRPr="00B968AE" w14:paraId="6D895711" w14:textId="77777777" w:rsidTr="00114BBF">
        <w:trPr>
          <w:trHeight w:val="188"/>
        </w:trPr>
        <w:tc>
          <w:tcPr>
            <w:tcW w:w="2268" w:type="dxa"/>
          </w:tcPr>
          <w:p w14:paraId="0151CDA6" w14:textId="7942B13B" w:rsidR="00010CE1" w:rsidRPr="00B968AE" w:rsidRDefault="00010CE1" w:rsidP="00D81ED0">
            <w:pPr>
              <w:rPr>
                <w:b/>
                <w:szCs w:val="22"/>
              </w:rPr>
            </w:pPr>
            <w:r w:rsidRPr="00B968AE">
              <w:rPr>
                <w:szCs w:val="22"/>
              </w:rPr>
              <w:t>&lt;30 mL/minute</w:t>
            </w:r>
          </w:p>
        </w:tc>
        <w:tc>
          <w:tcPr>
            <w:tcW w:w="7465" w:type="dxa"/>
          </w:tcPr>
          <w:p w14:paraId="1FD5042D" w14:textId="77777777" w:rsidR="00010CE1" w:rsidRPr="00B968AE" w:rsidRDefault="00010CE1" w:rsidP="00D81ED0">
            <w:pPr>
              <w:jc w:val="both"/>
              <w:rPr>
                <w:szCs w:val="22"/>
              </w:rPr>
            </w:pPr>
            <w:r w:rsidRPr="00B968AE">
              <w:rPr>
                <w:b/>
                <w:szCs w:val="22"/>
              </w:rPr>
              <w:t xml:space="preserve">Prevention: </w:t>
            </w:r>
            <w:r w:rsidRPr="00B968AE">
              <w:rPr>
                <w:szCs w:val="22"/>
              </w:rPr>
              <w:t>Use is contraindicated.</w:t>
            </w:r>
          </w:p>
          <w:p w14:paraId="3A4B159F" w14:textId="244B6284" w:rsidR="00010CE1" w:rsidRPr="00B968AE" w:rsidRDefault="00010CE1" w:rsidP="00D81ED0">
            <w:pPr>
              <w:jc w:val="both"/>
              <w:rPr>
                <w:szCs w:val="22"/>
              </w:rPr>
            </w:pPr>
            <w:r w:rsidRPr="00B968AE">
              <w:rPr>
                <w:b/>
                <w:szCs w:val="22"/>
              </w:rPr>
              <w:t>Treatment:</w:t>
            </w:r>
            <w:r w:rsidR="002244CC" w:rsidRPr="00B968AE">
              <w:rPr>
                <w:szCs w:val="22"/>
              </w:rPr>
              <w:t xml:space="preserve"> No dosage </w:t>
            </w:r>
            <w:r w:rsidRPr="00B968AE">
              <w:rPr>
                <w:szCs w:val="22"/>
              </w:rPr>
              <w:t>adjustment necessary; however, use with extreme caution and only if the benefits outweigh the risks.</w:t>
            </w:r>
          </w:p>
        </w:tc>
      </w:tr>
    </w:tbl>
    <w:p w14:paraId="6408CED3" w14:textId="4B6E8ECC" w:rsidR="008D3D2B" w:rsidRPr="00B968AE" w:rsidRDefault="00010CE1" w:rsidP="00D47A31">
      <w:pPr>
        <w:spacing w:before="40"/>
        <w:rPr>
          <w:b/>
          <w:szCs w:val="22"/>
        </w:rPr>
      </w:pPr>
      <w:r w:rsidRPr="00B968AE">
        <w:rPr>
          <w:b/>
          <w:szCs w:val="22"/>
        </w:rPr>
        <w:t>Hepatic adjustment:</w:t>
      </w:r>
    </w:p>
    <w:tbl>
      <w:tblPr>
        <w:tblStyle w:val="TableGrid"/>
        <w:tblW w:w="0" w:type="auto"/>
        <w:tblLook w:val="04A0" w:firstRow="1" w:lastRow="0" w:firstColumn="1" w:lastColumn="0" w:noHBand="0" w:noVBand="1"/>
      </w:tblPr>
      <w:tblGrid>
        <w:gridCol w:w="2268"/>
        <w:gridCol w:w="7430"/>
      </w:tblGrid>
      <w:tr w:rsidR="00010CE1" w:rsidRPr="00B968AE" w14:paraId="710DA846" w14:textId="77777777" w:rsidTr="00114BBF">
        <w:trPr>
          <w:trHeight w:val="395"/>
        </w:trPr>
        <w:tc>
          <w:tcPr>
            <w:tcW w:w="2268" w:type="dxa"/>
          </w:tcPr>
          <w:p w14:paraId="4BB66C81" w14:textId="5F6DBC1A" w:rsidR="00010CE1" w:rsidRPr="00B968AE" w:rsidRDefault="00010CE1" w:rsidP="00D81ED0">
            <w:pPr>
              <w:jc w:val="both"/>
              <w:rPr>
                <w:b/>
                <w:szCs w:val="22"/>
              </w:rPr>
            </w:pPr>
            <w:r w:rsidRPr="00B968AE">
              <w:rPr>
                <w:b/>
                <w:szCs w:val="22"/>
              </w:rPr>
              <w:t>Liver impairment</w:t>
            </w:r>
          </w:p>
        </w:tc>
        <w:tc>
          <w:tcPr>
            <w:tcW w:w="7430" w:type="dxa"/>
          </w:tcPr>
          <w:p w14:paraId="306D6D7A" w14:textId="31760A2C" w:rsidR="00010CE1" w:rsidRPr="00B968AE" w:rsidRDefault="00010CE1" w:rsidP="00D81ED0">
            <w:pPr>
              <w:jc w:val="both"/>
              <w:rPr>
                <w:b/>
                <w:szCs w:val="22"/>
              </w:rPr>
            </w:pPr>
            <w:r w:rsidRPr="00B968AE">
              <w:rPr>
                <w:b/>
                <w:szCs w:val="22"/>
              </w:rPr>
              <w:t>Dose adjustment</w:t>
            </w:r>
          </w:p>
        </w:tc>
      </w:tr>
      <w:tr w:rsidR="00010CE1" w:rsidRPr="00B968AE" w14:paraId="355BB80C" w14:textId="77777777" w:rsidTr="00114BBF">
        <w:trPr>
          <w:trHeight w:val="188"/>
        </w:trPr>
        <w:tc>
          <w:tcPr>
            <w:tcW w:w="2268" w:type="dxa"/>
          </w:tcPr>
          <w:p w14:paraId="33FD8628" w14:textId="4D072C44" w:rsidR="00010CE1" w:rsidRPr="00B968AE" w:rsidRDefault="00010CE1" w:rsidP="00D81ED0">
            <w:pPr>
              <w:jc w:val="both"/>
              <w:rPr>
                <w:b/>
                <w:szCs w:val="22"/>
              </w:rPr>
            </w:pPr>
            <w:r w:rsidRPr="00B968AE">
              <w:rPr>
                <w:szCs w:val="22"/>
              </w:rPr>
              <w:t>Mild to moderate</w:t>
            </w:r>
          </w:p>
        </w:tc>
        <w:tc>
          <w:tcPr>
            <w:tcW w:w="7430" w:type="dxa"/>
          </w:tcPr>
          <w:p w14:paraId="201088C5" w14:textId="08DB7194" w:rsidR="00010CE1" w:rsidRPr="00B968AE" w:rsidRDefault="00114BBF" w:rsidP="00D81ED0">
            <w:pPr>
              <w:jc w:val="both"/>
              <w:rPr>
                <w:b/>
                <w:szCs w:val="22"/>
              </w:rPr>
            </w:pPr>
            <w:r>
              <w:rPr>
                <w:szCs w:val="22"/>
              </w:rPr>
              <w:t>N</w:t>
            </w:r>
            <w:r w:rsidR="00010CE1" w:rsidRPr="00B968AE">
              <w:rPr>
                <w:szCs w:val="22"/>
              </w:rPr>
              <w:t>o dosage adjustment necessary</w:t>
            </w:r>
          </w:p>
        </w:tc>
      </w:tr>
      <w:tr w:rsidR="00010CE1" w:rsidRPr="00B968AE" w14:paraId="2B5D2711" w14:textId="77777777" w:rsidTr="00D81ED0">
        <w:trPr>
          <w:trHeight w:val="341"/>
        </w:trPr>
        <w:tc>
          <w:tcPr>
            <w:tcW w:w="2268" w:type="dxa"/>
          </w:tcPr>
          <w:p w14:paraId="1AB06CF8" w14:textId="7F0272E4" w:rsidR="00010CE1" w:rsidRPr="00B968AE" w:rsidRDefault="0051238E" w:rsidP="00D81ED0">
            <w:pPr>
              <w:jc w:val="both"/>
              <w:rPr>
                <w:b/>
                <w:szCs w:val="22"/>
              </w:rPr>
            </w:pPr>
            <w:r w:rsidRPr="00B968AE">
              <w:rPr>
                <w:szCs w:val="22"/>
              </w:rPr>
              <w:t>S</w:t>
            </w:r>
            <w:r w:rsidR="00010CE1" w:rsidRPr="00B968AE">
              <w:rPr>
                <w:szCs w:val="22"/>
              </w:rPr>
              <w:t>evere</w:t>
            </w:r>
          </w:p>
        </w:tc>
        <w:tc>
          <w:tcPr>
            <w:tcW w:w="7430" w:type="dxa"/>
          </w:tcPr>
          <w:p w14:paraId="7D5119F1" w14:textId="0C3FAD39" w:rsidR="00010CE1" w:rsidRPr="00B968AE" w:rsidRDefault="00010CE1" w:rsidP="00D81ED0">
            <w:pPr>
              <w:jc w:val="both"/>
              <w:rPr>
                <w:b/>
                <w:szCs w:val="22"/>
              </w:rPr>
            </w:pPr>
            <w:r w:rsidRPr="00B968AE">
              <w:rPr>
                <w:szCs w:val="22"/>
              </w:rPr>
              <w:t>No studies have been done</w:t>
            </w:r>
          </w:p>
        </w:tc>
      </w:tr>
    </w:tbl>
    <w:p w14:paraId="218FD60D" w14:textId="4B7AB995" w:rsidR="00287B06" w:rsidRPr="00C37839" w:rsidRDefault="00287B06" w:rsidP="00C37839">
      <w:pPr>
        <w:pStyle w:val="Heading1"/>
        <w:rPr>
          <w:rFonts w:ascii="Times New Roman" w:hAnsi="Times New Roman"/>
          <w:b w:val="0"/>
          <w:szCs w:val="22"/>
          <w:u w:val="none"/>
        </w:rPr>
      </w:pPr>
      <w:r>
        <w:rPr>
          <w:rFonts w:ascii="Times New Roman" w:hAnsi="Times New Roman"/>
          <w:szCs w:val="22"/>
        </w:rPr>
        <w:t>E</w:t>
      </w:r>
      <w:r w:rsidR="00537E8D" w:rsidRPr="00B968AE">
        <w:rPr>
          <w:rFonts w:ascii="Times New Roman" w:hAnsi="Times New Roman"/>
          <w:szCs w:val="22"/>
        </w:rPr>
        <w:t>fficacy</w:t>
      </w:r>
      <w:r w:rsidR="002E141B" w:rsidRPr="00B968AE">
        <w:rPr>
          <w:rFonts w:ascii="Times New Roman" w:hAnsi="Times New Roman"/>
          <w:b w:val="0"/>
          <w:szCs w:val="22"/>
          <w:u w:val="none"/>
          <w:vertAlign w:val="superscript"/>
        </w:rPr>
        <w:t>1</w:t>
      </w:r>
      <w:r w:rsidR="002244CC" w:rsidRPr="00B968AE">
        <w:rPr>
          <w:rFonts w:ascii="Times New Roman" w:hAnsi="Times New Roman"/>
          <w:b w:val="0"/>
          <w:szCs w:val="22"/>
          <w:u w:val="none"/>
          <w:vertAlign w:val="superscript"/>
        </w:rPr>
        <w:t xml:space="preserve">, </w:t>
      </w:r>
      <w:r w:rsidR="00E7153A">
        <w:rPr>
          <w:rFonts w:ascii="Times New Roman" w:hAnsi="Times New Roman"/>
          <w:b w:val="0"/>
          <w:szCs w:val="22"/>
          <w:u w:val="none"/>
          <w:vertAlign w:val="superscript"/>
        </w:rPr>
        <w:t>8-</w:t>
      </w:r>
      <w:r w:rsidR="00E23B8D">
        <w:rPr>
          <w:rFonts w:ascii="Times New Roman" w:hAnsi="Times New Roman"/>
          <w:b w:val="0"/>
          <w:szCs w:val="22"/>
          <w:u w:val="none"/>
          <w:vertAlign w:val="superscript"/>
        </w:rPr>
        <w:t>20</w:t>
      </w:r>
      <w:proofErr w:type="gramStart"/>
      <w:r w:rsidR="001B02DD">
        <w:rPr>
          <w:rFonts w:ascii="Times New Roman" w:hAnsi="Times New Roman"/>
          <w:b w:val="0"/>
          <w:szCs w:val="22"/>
          <w:u w:val="none"/>
          <w:vertAlign w:val="superscript"/>
        </w:rPr>
        <w:t>,23</w:t>
      </w:r>
      <w:proofErr w:type="gramEnd"/>
      <w:r w:rsidR="001B02DD">
        <w:rPr>
          <w:rFonts w:ascii="Times New Roman" w:hAnsi="Times New Roman"/>
          <w:b w:val="0"/>
          <w:szCs w:val="22"/>
          <w:u w:val="none"/>
          <w:vertAlign w:val="superscript"/>
        </w:rPr>
        <w:t>-24</w:t>
      </w:r>
    </w:p>
    <w:p w14:paraId="4FB2FC49" w14:textId="52498EFF" w:rsidR="00D50D74" w:rsidRDefault="007B30C3">
      <w:pPr>
        <w:rPr>
          <w:b/>
          <w:szCs w:val="22"/>
        </w:rPr>
      </w:pPr>
      <w:r>
        <w:rPr>
          <w:b/>
          <w:szCs w:val="22"/>
        </w:rPr>
        <w:t>Prophylaxis</w:t>
      </w:r>
    </w:p>
    <w:p w14:paraId="16165844" w14:textId="078A513A" w:rsidR="002D622B" w:rsidRPr="00B968AE" w:rsidRDefault="00D11F74">
      <w:pPr>
        <w:rPr>
          <w:szCs w:val="22"/>
        </w:rPr>
      </w:pPr>
      <w:r>
        <w:rPr>
          <w:szCs w:val="22"/>
        </w:rPr>
        <w:t xml:space="preserve">For the </w:t>
      </w:r>
      <w:r w:rsidR="00444E7F">
        <w:rPr>
          <w:szCs w:val="22"/>
        </w:rPr>
        <w:t xml:space="preserve">original </w:t>
      </w:r>
      <w:r>
        <w:rPr>
          <w:szCs w:val="22"/>
        </w:rPr>
        <w:t>FDA review, t</w:t>
      </w:r>
      <w:r w:rsidR="00D50D74" w:rsidRPr="00B968AE">
        <w:rPr>
          <w:szCs w:val="22"/>
        </w:rPr>
        <w:t xml:space="preserve">he fixed dose combination of </w:t>
      </w:r>
      <w:r w:rsidR="00F45EBE">
        <w:rPr>
          <w:szCs w:val="22"/>
        </w:rPr>
        <w:t>a</w:t>
      </w:r>
      <w:r w:rsidR="00D50D74" w:rsidRPr="00B968AE">
        <w:rPr>
          <w:szCs w:val="22"/>
        </w:rPr>
        <w:t>tovaquone</w:t>
      </w:r>
      <w:r w:rsidR="000E12C7">
        <w:rPr>
          <w:szCs w:val="22"/>
        </w:rPr>
        <w:t>/</w:t>
      </w:r>
      <w:r w:rsidR="00D50D74" w:rsidRPr="00B968AE">
        <w:rPr>
          <w:szCs w:val="22"/>
        </w:rPr>
        <w:t xml:space="preserve">proguanil was evaluated for prophylaxis of malaria </w:t>
      </w:r>
      <w:r w:rsidR="003052BB" w:rsidRPr="00B968AE">
        <w:rPr>
          <w:szCs w:val="22"/>
        </w:rPr>
        <w:t xml:space="preserve">in </w:t>
      </w:r>
      <w:r w:rsidR="00444E7F">
        <w:rPr>
          <w:szCs w:val="22"/>
        </w:rPr>
        <w:t>4</w:t>
      </w:r>
      <w:r w:rsidR="00444E7F" w:rsidRPr="00B968AE">
        <w:rPr>
          <w:szCs w:val="22"/>
        </w:rPr>
        <w:t xml:space="preserve"> </w:t>
      </w:r>
      <w:r w:rsidR="003052BB" w:rsidRPr="00B968AE">
        <w:rPr>
          <w:szCs w:val="22"/>
        </w:rPr>
        <w:t>clinical trials in malaria</w:t>
      </w:r>
      <w:r w:rsidR="007D77BC">
        <w:rPr>
          <w:szCs w:val="22"/>
        </w:rPr>
        <w:t>–endemic areas</w:t>
      </w:r>
      <w:r w:rsidR="00444E7F">
        <w:rPr>
          <w:szCs w:val="22"/>
        </w:rPr>
        <w:t xml:space="preserve">, of these 4 trials, 1 trial was evaluated in pediatric population and </w:t>
      </w:r>
      <w:r w:rsidR="0055372E">
        <w:rPr>
          <w:szCs w:val="22"/>
        </w:rPr>
        <w:t xml:space="preserve">is </w:t>
      </w:r>
      <w:r w:rsidR="00444E7F">
        <w:rPr>
          <w:szCs w:val="22"/>
        </w:rPr>
        <w:t xml:space="preserve">not included in this review (Table 2). </w:t>
      </w:r>
    </w:p>
    <w:p w14:paraId="760902DE" w14:textId="77777777" w:rsidR="00AA69D7" w:rsidRPr="00B968AE" w:rsidRDefault="00AA69D7">
      <w:pPr>
        <w:rPr>
          <w:szCs w:val="22"/>
        </w:rPr>
      </w:pPr>
    </w:p>
    <w:p w14:paraId="52BFF329" w14:textId="605AD810" w:rsidR="00AA69D7" w:rsidRDefault="00A327B6">
      <w:pPr>
        <w:rPr>
          <w:szCs w:val="22"/>
        </w:rPr>
      </w:pPr>
      <w:r>
        <w:rPr>
          <w:szCs w:val="22"/>
        </w:rPr>
        <w:t>In the</w:t>
      </w:r>
      <w:r w:rsidR="009543E6" w:rsidRPr="00B968AE">
        <w:rPr>
          <w:szCs w:val="22"/>
        </w:rPr>
        <w:t xml:space="preserve"> </w:t>
      </w:r>
      <w:r w:rsidR="0055372E">
        <w:rPr>
          <w:szCs w:val="22"/>
        </w:rPr>
        <w:t xml:space="preserve">3 </w:t>
      </w:r>
      <w:r w:rsidR="009543E6" w:rsidRPr="00B968AE">
        <w:rPr>
          <w:szCs w:val="22"/>
        </w:rPr>
        <w:t>clinical trials</w:t>
      </w:r>
      <w:r w:rsidR="00810149">
        <w:rPr>
          <w:szCs w:val="22"/>
        </w:rPr>
        <w:t xml:space="preserve"> described below</w:t>
      </w:r>
      <w:r w:rsidR="009543E6" w:rsidRPr="00B968AE">
        <w:rPr>
          <w:szCs w:val="22"/>
        </w:rPr>
        <w:t xml:space="preserve">, </w:t>
      </w:r>
      <w:r w:rsidR="007D77BC">
        <w:rPr>
          <w:szCs w:val="22"/>
        </w:rPr>
        <w:t xml:space="preserve">the </w:t>
      </w:r>
      <w:r w:rsidR="009E18A2">
        <w:rPr>
          <w:szCs w:val="22"/>
        </w:rPr>
        <w:t xml:space="preserve">primary </w:t>
      </w:r>
      <w:r w:rsidR="009543E6" w:rsidRPr="00B968AE">
        <w:rPr>
          <w:szCs w:val="22"/>
        </w:rPr>
        <w:t xml:space="preserve">efficacy endpoint was </w:t>
      </w:r>
      <w:r w:rsidR="00B22F0C">
        <w:rPr>
          <w:szCs w:val="22"/>
        </w:rPr>
        <w:t xml:space="preserve">the </w:t>
      </w:r>
      <w:r w:rsidR="009543E6" w:rsidRPr="00B968AE">
        <w:rPr>
          <w:szCs w:val="22"/>
        </w:rPr>
        <w:t xml:space="preserve">development of </w:t>
      </w:r>
      <w:proofErr w:type="spellStart"/>
      <w:r w:rsidR="009543E6" w:rsidRPr="00B968AE">
        <w:rPr>
          <w:szCs w:val="22"/>
        </w:rPr>
        <w:t>parasitemia</w:t>
      </w:r>
      <w:proofErr w:type="spellEnd"/>
      <w:r w:rsidR="009543E6" w:rsidRPr="00B968AE">
        <w:rPr>
          <w:szCs w:val="22"/>
        </w:rPr>
        <w:t xml:space="preserve"> with any species of plasmodium during chemoprophylaxis defined by negative malaria smears confirmed by at least 2 microbiologists. </w:t>
      </w:r>
      <w:r w:rsidR="009E18A2">
        <w:rPr>
          <w:szCs w:val="22"/>
        </w:rPr>
        <w:t xml:space="preserve">Primary efficacy analyses were performed using the intention-to-treat population (ITT), which was defined as the subjects who were randomized to receive either atovaquone/proguanil or comparators during chemosuppression, who received at least one dose of treatment during chemosuppression, and who had a negative baseline smear. </w:t>
      </w:r>
      <w:r w:rsidR="00FB187E">
        <w:rPr>
          <w:szCs w:val="22"/>
        </w:rPr>
        <w:t xml:space="preserve">Overall, atovaquone/proguanil was shown to be effective in preventing malaria in semi-immune adults. </w:t>
      </w:r>
    </w:p>
    <w:p w14:paraId="2859DF7D" w14:textId="77777777" w:rsidR="009866D9" w:rsidRPr="00B968AE" w:rsidRDefault="009866D9">
      <w:pPr>
        <w:rPr>
          <w:szCs w:val="22"/>
        </w:rPr>
      </w:pPr>
    </w:p>
    <w:p w14:paraId="7BF0453F" w14:textId="77777777" w:rsidR="00D47A31" w:rsidRDefault="00D47A31" w:rsidP="006905CB">
      <w:pPr>
        <w:rPr>
          <w:b/>
          <w:szCs w:val="22"/>
        </w:rPr>
      </w:pPr>
    </w:p>
    <w:p w14:paraId="4F0CE7C8" w14:textId="735030CE" w:rsidR="006905CB" w:rsidRPr="00B968AE" w:rsidRDefault="00756963" w:rsidP="006905CB">
      <w:pPr>
        <w:rPr>
          <w:b/>
          <w:szCs w:val="22"/>
        </w:rPr>
      </w:pPr>
      <w:r w:rsidRPr="00B968AE">
        <w:rPr>
          <w:b/>
          <w:szCs w:val="22"/>
        </w:rPr>
        <w:lastRenderedPageBreak/>
        <w:t xml:space="preserve">Table 2: </w:t>
      </w:r>
      <w:r w:rsidR="006905CB" w:rsidRPr="00B968AE">
        <w:rPr>
          <w:b/>
          <w:szCs w:val="22"/>
        </w:rPr>
        <w:t xml:space="preserve">Efficacy of </w:t>
      </w:r>
      <w:proofErr w:type="spellStart"/>
      <w:r w:rsidR="006905CB" w:rsidRPr="00B968AE">
        <w:rPr>
          <w:b/>
          <w:szCs w:val="22"/>
        </w:rPr>
        <w:t>atovaquone</w:t>
      </w:r>
      <w:proofErr w:type="spellEnd"/>
      <w:r w:rsidR="006905CB" w:rsidRPr="00B968AE">
        <w:rPr>
          <w:b/>
          <w:szCs w:val="22"/>
        </w:rPr>
        <w:t>/</w:t>
      </w:r>
      <w:proofErr w:type="spellStart"/>
      <w:r w:rsidR="006905CB" w:rsidRPr="00B968AE">
        <w:rPr>
          <w:b/>
          <w:szCs w:val="22"/>
        </w:rPr>
        <w:t>proguanil</w:t>
      </w:r>
      <w:proofErr w:type="spellEnd"/>
      <w:r w:rsidR="006905CB" w:rsidRPr="00B968AE">
        <w:rPr>
          <w:b/>
          <w:szCs w:val="22"/>
        </w:rPr>
        <w:t xml:space="preserve"> for malaria </w:t>
      </w:r>
      <w:proofErr w:type="spellStart"/>
      <w:r w:rsidR="006905CB" w:rsidRPr="00B968AE">
        <w:rPr>
          <w:b/>
          <w:szCs w:val="22"/>
        </w:rPr>
        <w:t>prophylaxis</w:t>
      </w:r>
      <w:r w:rsidR="00C51EC6">
        <w:rPr>
          <w:b/>
          <w:szCs w:val="22"/>
          <w:vertAlign w:val="superscript"/>
        </w:rPr>
        <w:t>a</w:t>
      </w:r>
      <w:proofErr w:type="spellEnd"/>
    </w:p>
    <w:tbl>
      <w:tblPr>
        <w:tblStyle w:val="TableClassic1"/>
        <w:tblW w:w="0" w:type="auto"/>
        <w:tblLook w:val="04A0" w:firstRow="1" w:lastRow="0" w:firstColumn="1" w:lastColumn="0" w:noHBand="0" w:noVBand="1"/>
      </w:tblPr>
      <w:tblGrid>
        <w:gridCol w:w="2178"/>
        <w:gridCol w:w="2430"/>
        <w:gridCol w:w="1231"/>
        <w:gridCol w:w="1430"/>
        <w:gridCol w:w="1919"/>
      </w:tblGrid>
      <w:tr w:rsidR="006905CB" w:rsidRPr="00B968AE" w14:paraId="780258F6" w14:textId="77777777" w:rsidTr="00420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12" w:space="0" w:color="auto"/>
            </w:tcBorders>
          </w:tcPr>
          <w:p w14:paraId="3D24C3B7" w14:textId="77777777" w:rsidR="006905CB" w:rsidRPr="000D12D2" w:rsidRDefault="006905CB" w:rsidP="00771BD6">
            <w:pPr>
              <w:rPr>
                <w:b/>
                <w:i w:val="0"/>
                <w:szCs w:val="22"/>
              </w:rPr>
            </w:pPr>
            <w:r w:rsidRPr="000D12D2">
              <w:rPr>
                <w:b/>
                <w:i w:val="0"/>
                <w:szCs w:val="22"/>
              </w:rPr>
              <w:t>Country (population)</w:t>
            </w:r>
          </w:p>
        </w:tc>
        <w:tc>
          <w:tcPr>
            <w:tcW w:w="2430" w:type="dxa"/>
            <w:tcBorders>
              <w:bottom w:val="single" w:sz="12" w:space="0" w:color="auto"/>
            </w:tcBorders>
          </w:tcPr>
          <w:p w14:paraId="46751813" w14:textId="69AD4ED1" w:rsidR="006905CB" w:rsidRPr="000D12D2" w:rsidRDefault="00666BF9" w:rsidP="00666BF9">
            <w:pPr>
              <w:cnfStyle w:val="100000000000" w:firstRow="1" w:lastRow="0" w:firstColumn="0" w:lastColumn="0" w:oddVBand="0" w:evenVBand="0" w:oddHBand="0" w:evenHBand="0" w:firstRowFirstColumn="0" w:firstRowLastColumn="0" w:lastRowFirstColumn="0" w:lastRowLastColumn="0"/>
              <w:rPr>
                <w:b/>
                <w:i w:val="0"/>
                <w:szCs w:val="22"/>
              </w:rPr>
            </w:pPr>
            <w:r w:rsidRPr="000D12D2">
              <w:rPr>
                <w:b/>
                <w:i w:val="0"/>
                <w:szCs w:val="22"/>
              </w:rPr>
              <w:t>Study design</w:t>
            </w:r>
            <w:r w:rsidR="006905CB" w:rsidRPr="000D12D2">
              <w:rPr>
                <w:b/>
                <w:i w:val="0"/>
                <w:szCs w:val="22"/>
              </w:rPr>
              <w:t xml:space="preserve"> </w:t>
            </w:r>
          </w:p>
        </w:tc>
        <w:tc>
          <w:tcPr>
            <w:tcW w:w="1231" w:type="dxa"/>
            <w:tcBorders>
              <w:bottom w:val="single" w:sz="12" w:space="0" w:color="auto"/>
            </w:tcBorders>
          </w:tcPr>
          <w:p w14:paraId="15296D84" w14:textId="715A9065" w:rsidR="006905CB" w:rsidRPr="000D12D2" w:rsidRDefault="00430BA3" w:rsidP="00771BD6">
            <w:pPr>
              <w:cnfStyle w:val="100000000000" w:firstRow="1" w:lastRow="0" w:firstColumn="0" w:lastColumn="0" w:oddVBand="0" w:evenVBand="0" w:oddHBand="0" w:evenHBand="0" w:firstRowFirstColumn="0" w:firstRowLastColumn="0" w:lastRowFirstColumn="0" w:lastRowLastColumn="0"/>
              <w:rPr>
                <w:b/>
                <w:i w:val="0"/>
                <w:szCs w:val="22"/>
              </w:rPr>
            </w:pPr>
            <w:r>
              <w:rPr>
                <w:b/>
                <w:i w:val="0"/>
                <w:szCs w:val="22"/>
              </w:rPr>
              <w:t>ITT population</w:t>
            </w:r>
            <w:r w:rsidR="006905CB" w:rsidRPr="000D12D2">
              <w:rPr>
                <w:b/>
                <w:i w:val="0"/>
                <w:szCs w:val="22"/>
              </w:rPr>
              <w:t xml:space="preserve"> </w:t>
            </w:r>
          </w:p>
        </w:tc>
        <w:tc>
          <w:tcPr>
            <w:tcW w:w="1430" w:type="dxa"/>
            <w:tcBorders>
              <w:bottom w:val="single" w:sz="12" w:space="0" w:color="auto"/>
            </w:tcBorders>
          </w:tcPr>
          <w:p w14:paraId="715B27E8" w14:textId="77777777" w:rsidR="006905CB" w:rsidRPr="000D12D2" w:rsidRDefault="006905CB" w:rsidP="00771BD6">
            <w:pPr>
              <w:cnfStyle w:val="100000000000" w:firstRow="1" w:lastRow="0" w:firstColumn="0" w:lastColumn="0" w:oddVBand="0" w:evenVBand="0" w:oddHBand="0" w:evenHBand="0" w:firstRowFirstColumn="0" w:firstRowLastColumn="0" w:lastRowFirstColumn="0" w:lastRowLastColumn="0"/>
              <w:rPr>
                <w:b/>
                <w:i w:val="0"/>
                <w:szCs w:val="22"/>
              </w:rPr>
            </w:pPr>
            <w:r w:rsidRPr="000D12D2">
              <w:rPr>
                <w:b/>
                <w:i w:val="0"/>
                <w:szCs w:val="22"/>
              </w:rPr>
              <w:t xml:space="preserve">Duration of  prophylaxis </w:t>
            </w:r>
          </w:p>
        </w:tc>
        <w:tc>
          <w:tcPr>
            <w:tcW w:w="1919" w:type="dxa"/>
            <w:tcBorders>
              <w:bottom w:val="single" w:sz="12" w:space="0" w:color="auto"/>
            </w:tcBorders>
          </w:tcPr>
          <w:p w14:paraId="5116F002" w14:textId="0B725951" w:rsidR="006905CB" w:rsidRPr="000D12D2" w:rsidRDefault="00133256" w:rsidP="00771BD6">
            <w:pPr>
              <w:cnfStyle w:val="100000000000" w:firstRow="1" w:lastRow="0" w:firstColumn="0" w:lastColumn="0" w:oddVBand="0" w:evenVBand="0" w:oddHBand="0" w:evenHBand="0" w:firstRowFirstColumn="0" w:firstRowLastColumn="0" w:lastRowFirstColumn="0" w:lastRowLastColumn="0"/>
              <w:rPr>
                <w:b/>
                <w:i w:val="0"/>
                <w:szCs w:val="22"/>
              </w:rPr>
            </w:pPr>
            <w:r w:rsidRPr="000D12D2">
              <w:rPr>
                <w:b/>
                <w:i w:val="0"/>
                <w:szCs w:val="22"/>
              </w:rPr>
              <w:t>Protection rate</w:t>
            </w:r>
            <w:r w:rsidR="006905CB" w:rsidRPr="000D12D2">
              <w:rPr>
                <w:b/>
                <w:i w:val="0"/>
                <w:szCs w:val="22"/>
              </w:rPr>
              <w:t xml:space="preserve"> (95% CI</w:t>
            </w:r>
            <w:r w:rsidR="00365DDB">
              <w:rPr>
                <w:b/>
                <w:i w:val="0"/>
                <w:szCs w:val="22"/>
              </w:rPr>
              <w:t>, p value</w:t>
            </w:r>
            <w:r w:rsidR="006905CB" w:rsidRPr="000D12D2">
              <w:rPr>
                <w:b/>
                <w:i w:val="0"/>
                <w:szCs w:val="22"/>
              </w:rPr>
              <w:t>)</w:t>
            </w:r>
            <w:r w:rsidR="00C51EC6">
              <w:rPr>
                <w:b/>
                <w:i w:val="0"/>
                <w:szCs w:val="22"/>
                <w:vertAlign w:val="superscript"/>
              </w:rPr>
              <w:t>b</w:t>
            </w:r>
          </w:p>
        </w:tc>
      </w:tr>
      <w:tr w:rsidR="006905CB" w:rsidRPr="00B968AE" w14:paraId="65B889CC" w14:textId="77777777" w:rsidTr="00420C37">
        <w:tc>
          <w:tcPr>
            <w:cnfStyle w:val="001000000000" w:firstRow="0" w:lastRow="0" w:firstColumn="1" w:lastColumn="0" w:oddVBand="0" w:evenVBand="0" w:oddHBand="0" w:evenHBand="0" w:firstRowFirstColumn="0" w:firstRowLastColumn="0" w:lastRowFirstColumn="0" w:lastRowLastColumn="0"/>
            <w:tcW w:w="2178" w:type="dxa"/>
            <w:tcBorders>
              <w:top w:val="single" w:sz="12" w:space="0" w:color="auto"/>
              <w:bottom w:val="single" w:sz="4" w:space="0" w:color="auto"/>
            </w:tcBorders>
          </w:tcPr>
          <w:p w14:paraId="04792090" w14:textId="77777777" w:rsidR="000D12D2" w:rsidRDefault="006905CB" w:rsidP="00771BD6">
            <w:pPr>
              <w:rPr>
                <w:szCs w:val="22"/>
              </w:rPr>
            </w:pPr>
            <w:r w:rsidRPr="00B968AE">
              <w:rPr>
                <w:szCs w:val="22"/>
              </w:rPr>
              <w:t xml:space="preserve">South Africa </w:t>
            </w:r>
          </w:p>
          <w:p w14:paraId="0D1BC636" w14:textId="6FAAE5FF" w:rsidR="006905CB" w:rsidRPr="00B968AE" w:rsidRDefault="000D12D2" w:rsidP="00771BD6">
            <w:pPr>
              <w:rPr>
                <w:szCs w:val="22"/>
              </w:rPr>
            </w:pPr>
            <w:r>
              <w:rPr>
                <w:szCs w:val="22"/>
              </w:rPr>
              <w:t>(non-immune adult 16-65 y</w:t>
            </w:r>
            <w:r w:rsidR="0055372E">
              <w:rPr>
                <w:szCs w:val="22"/>
              </w:rPr>
              <w:t>ea</w:t>
            </w:r>
            <w:r w:rsidR="006905CB" w:rsidRPr="00B968AE">
              <w:rPr>
                <w:szCs w:val="22"/>
              </w:rPr>
              <w:t>rs old)</w:t>
            </w:r>
          </w:p>
        </w:tc>
        <w:tc>
          <w:tcPr>
            <w:tcW w:w="2430" w:type="dxa"/>
            <w:tcBorders>
              <w:top w:val="single" w:sz="12" w:space="0" w:color="auto"/>
              <w:bottom w:val="single" w:sz="4" w:space="0" w:color="auto"/>
            </w:tcBorders>
          </w:tcPr>
          <w:p w14:paraId="7D8FCE5E" w14:textId="324DCC67" w:rsidR="006905CB" w:rsidRPr="00B968AE" w:rsidRDefault="00C40010" w:rsidP="00C40010">
            <w:pPr>
              <w:cnfStyle w:val="000000000000" w:firstRow="0" w:lastRow="0" w:firstColumn="0" w:lastColumn="0" w:oddVBand="0" w:evenVBand="0" w:oddHBand="0" w:evenHBand="0" w:firstRowFirstColumn="0" w:firstRowLastColumn="0" w:lastRowFirstColumn="0" w:lastRowLastColumn="0"/>
              <w:rPr>
                <w:szCs w:val="22"/>
              </w:rPr>
            </w:pPr>
            <w:r>
              <w:rPr>
                <w:szCs w:val="22"/>
              </w:rPr>
              <w:t>O</w:t>
            </w:r>
            <w:r w:rsidR="006905CB" w:rsidRPr="00B968AE">
              <w:rPr>
                <w:szCs w:val="22"/>
              </w:rPr>
              <w:t>pen-label</w:t>
            </w:r>
            <w:r w:rsidR="00430BA3">
              <w:rPr>
                <w:szCs w:val="22"/>
              </w:rPr>
              <w:t>, non-comparative</w:t>
            </w:r>
          </w:p>
        </w:tc>
        <w:tc>
          <w:tcPr>
            <w:tcW w:w="1231" w:type="dxa"/>
            <w:tcBorders>
              <w:top w:val="single" w:sz="12" w:space="0" w:color="auto"/>
              <w:bottom w:val="single" w:sz="4" w:space="0" w:color="auto"/>
            </w:tcBorders>
          </w:tcPr>
          <w:p w14:paraId="10ECFAAA" w14:textId="48B3B45B" w:rsidR="006905CB" w:rsidRPr="00B968AE" w:rsidRDefault="00430BA3" w:rsidP="00771BD6">
            <w:pPr>
              <w:cnfStyle w:val="000000000000" w:firstRow="0" w:lastRow="0" w:firstColumn="0" w:lastColumn="0" w:oddVBand="0" w:evenVBand="0" w:oddHBand="0" w:evenHBand="0" w:firstRowFirstColumn="0" w:firstRowLastColumn="0" w:lastRowFirstColumn="0" w:lastRowLastColumn="0"/>
              <w:rPr>
                <w:szCs w:val="22"/>
              </w:rPr>
            </w:pPr>
            <w:r>
              <w:rPr>
                <w:szCs w:val="22"/>
              </w:rPr>
              <w:t>175</w:t>
            </w:r>
          </w:p>
        </w:tc>
        <w:tc>
          <w:tcPr>
            <w:tcW w:w="1430" w:type="dxa"/>
            <w:tcBorders>
              <w:top w:val="single" w:sz="12" w:space="0" w:color="auto"/>
              <w:bottom w:val="single" w:sz="4" w:space="0" w:color="auto"/>
            </w:tcBorders>
          </w:tcPr>
          <w:p w14:paraId="6E5911D0" w14:textId="455D1EBC" w:rsidR="006905CB" w:rsidRPr="00B968AE" w:rsidRDefault="00D07F73" w:rsidP="00771BD6">
            <w:pPr>
              <w:cnfStyle w:val="000000000000" w:firstRow="0" w:lastRow="0" w:firstColumn="0" w:lastColumn="0" w:oddVBand="0" w:evenVBand="0" w:oddHBand="0" w:evenHBand="0" w:firstRowFirstColumn="0" w:firstRowLastColumn="0" w:lastRowFirstColumn="0" w:lastRowLastColumn="0"/>
              <w:rPr>
                <w:szCs w:val="22"/>
              </w:rPr>
            </w:pPr>
            <w:r w:rsidRPr="00C40010">
              <w:rPr>
                <w:szCs w:val="22"/>
              </w:rPr>
              <w:t xml:space="preserve">up to </w:t>
            </w:r>
            <w:r w:rsidR="006905CB" w:rsidRPr="00C40010">
              <w:rPr>
                <w:szCs w:val="22"/>
              </w:rPr>
              <w:t>10 weeks</w:t>
            </w:r>
          </w:p>
        </w:tc>
        <w:tc>
          <w:tcPr>
            <w:tcW w:w="1919" w:type="dxa"/>
            <w:tcBorders>
              <w:top w:val="single" w:sz="12" w:space="0" w:color="auto"/>
              <w:bottom w:val="single" w:sz="4" w:space="0" w:color="auto"/>
            </w:tcBorders>
          </w:tcPr>
          <w:p w14:paraId="6A0D5265" w14:textId="50193940" w:rsidR="006905CB" w:rsidRPr="00C37839" w:rsidRDefault="00BA7BBE" w:rsidP="00771BD6">
            <w:pPr>
              <w:cnfStyle w:val="000000000000" w:firstRow="0" w:lastRow="0" w:firstColumn="0" w:lastColumn="0" w:oddVBand="0" w:evenVBand="0" w:oddHBand="0" w:evenHBand="0" w:firstRowFirstColumn="0" w:firstRowLastColumn="0" w:lastRowFirstColumn="0" w:lastRowLastColumn="0"/>
              <w:rPr>
                <w:szCs w:val="22"/>
              </w:rPr>
            </w:pPr>
            <w:r w:rsidRPr="00C37839">
              <w:rPr>
                <w:szCs w:val="22"/>
              </w:rPr>
              <w:t>69% AP (61% -75</w:t>
            </w:r>
            <w:r w:rsidR="006905CB" w:rsidRPr="00C37839">
              <w:rPr>
                <w:szCs w:val="22"/>
              </w:rPr>
              <w:t xml:space="preserve">%) </w:t>
            </w:r>
          </w:p>
          <w:p w14:paraId="1C1ED405" w14:textId="77777777" w:rsidR="006905CB" w:rsidRPr="00C37839" w:rsidRDefault="006905CB" w:rsidP="00771BD6">
            <w:pPr>
              <w:cnfStyle w:val="000000000000" w:firstRow="0" w:lastRow="0" w:firstColumn="0" w:lastColumn="0" w:oddVBand="0" w:evenVBand="0" w:oddHBand="0" w:evenHBand="0" w:firstRowFirstColumn="0" w:firstRowLastColumn="0" w:lastRowFirstColumn="0" w:lastRowLastColumn="0"/>
              <w:rPr>
                <w:szCs w:val="22"/>
              </w:rPr>
            </w:pPr>
          </w:p>
        </w:tc>
      </w:tr>
      <w:tr w:rsidR="006905CB" w:rsidRPr="00B968AE" w14:paraId="4BED9544" w14:textId="77777777" w:rsidTr="00420C37">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tcPr>
          <w:p w14:paraId="70579FBF" w14:textId="77777777" w:rsidR="000D12D2" w:rsidRDefault="006905CB" w:rsidP="00771BD6">
            <w:pPr>
              <w:rPr>
                <w:szCs w:val="22"/>
              </w:rPr>
            </w:pPr>
            <w:r w:rsidRPr="00B968AE">
              <w:rPr>
                <w:szCs w:val="22"/>
              </w:rPr>
              <w:t>Ken</w:t>
            </w:r>
            <w:r w:rsidR="000D12D2">
              <w:rPr>
                <w:szCs w:val="22"/>
              </w:rPr>
              <w:t xml:space="preserve">ya </w:t>
            </w:r>
          </w:p>
          <w:p w14:paraId="35672B7F" w14:textId="39E59DDC" w:rsidR="006905CB" w:rsidRPr="00B968AE" w:rsidRDefault="000D12D2" w:rsidP="00771BD6">
            <w:pPr>
              <w:rPr>
                <w:szCs w:val="22"/>
              </w:rPr>
            </w:pPr>
            <w:r>
              <w:rPr>
                <w:szCs w:val="22"/>
              </w:rPr>
              <w:t>(semi-immune adults 18-65 y</w:t>
            </w:r>
            <w:r w:rsidR="0055372E">
              <w:rPr>
                <w:szCs w:val="22"/>
              </w:rPr>
              <w:t>ea</w:t>
            </w:r>
            <w:r w:rsidR="006905CB" w:rsidRPr="00B968AE">
              <w:rPr>
                <w:szCs w:val="22"/>
              </w:rPr>
              <w:t>rs old)</w:t>
            </w:r>
          </w:p>
        </w:tc>
        <w:tc>
          <w:tcPr>
            <w:tcW w:w="2430" w:type="dxa"/>
            <w:tcBorders>
              <w:top w:val="single" w:sz="4" w:space="0" w:color="auto"/>
              <w:bottom w:val="single" w:sz="4" w:space="0" w:color="auto"/>
            </w:tcBorders>
          </w:tcPr>
          <w:p w14:paraId="51FC6B8C" w14:textId="09E85AB0" w:rsidR="006905CB" w:rsidRPr="00B968AE" w:rsidRDefault="006905CB" w:rsidP="00771BD6">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Randomized, double-blind, placebo-controlled</w:t>
            </w:r>
            <w:r w:rsidR="00365DDB">
              <w:rPr>
                <w:szCs w:val="22"/>
              </w:rPr>
              <w:t xml:space="preserve">, 3-arm </w:t>
            </w:r>
            <w:proofErr w:type="spellStart"/>
            <w:r w:rsidR="00365DDB">
              <w:rPr>
                <w:szCs w:val="22"/>
              </w:rPr>
              <w:t>parallel</w:t>
            </w:r>
            <w:r w:rsidR="000E4F93" w:rsidRPr="000E4F93">
              <w:rPr>
                <w:szCs w:val="22"/>
                <w:vertAlign w:val="superscript"/>
              </w:rPr>
              <w:t>c</w:t>
            </w:r>
            <w:proofErr w:type="spellEnd"/>
          </w:p>
        </w:tc>
        <w:tc>
          <w:tcPr>
            <w:tcW w:w="1231" w:type="dxa"/>
            <w:tcBorders>
              <w:top w:val="single" w:sz="4" w:space="0" w:color="auto"/>
              <w:bottom w:val="single" w:sz="4" w:space="0" w:color="auto"/>
            </w:tcBorders>
          </w:tcPr>
          <w:p w14:paraId="5BB6AD7A" w14:textId="093B3435" w:rsidR="006905CB" w:rsidRPr="00B968AE" w:rsidRDefault="00C056C5" w:rsidP="00771BD6">
            <w:pPr>
              <w:cnfStyle w:val="000000000000" w:firstRow="0" w:lastRow="0" w:firstColumn="0" w:lastColumn="0" w:oddVBand="0" w:evenVBand="0" w:oddHBand="0" w:evenHBand="0" w:firstRowFirstColumn="0" w:firstRowLastColumn="0" w:lastRowFirstColumn="0" w:lastRowLastColumn="0"/>
              <w:rPr>
                <w:szCs w:val="22"/>
              </w:rPr>
            </w:pPr>
            <w:r>
              <w:rPr>
                <w:szCs w:val="22"/>
              </w:rPr>
              <w:t>19</w:t>
            </w:r>
            <w:r w:rsidR="00365DDB">
              <w:rPr>
                <w:szCs w:val="22"/>
              </w:rPr>
              <w:t>8</w:t>
            </w:r>
          </w:p>
        </w:tc>
        <w:tc>
          <w:tcPr>
            <w:tcW w:w="1430" w:type="dxa"/>
            <w:tcBorders>
              <w:top w:val="single" w:sz="4" w:space="0" w:color="auto"/>
              <w:bottom w:val="single" w:sz="4" w:space="0" w:color="auto"/>
            </w:tcBorders>
          </w:tcPr>
          <w:p w14:paraId="0A2A1670" w14:textId="77777777" w:rsidR="006905CB" w:rsidRPr="00B968AE" w:rsidRDefault="006905CB" w:rsidP="00771BD6">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10 weeks</w:t>
            </w:r>
          </w:p>
        </w:tc>
        <w:tc>
          <w:tcPr>
            <w:tcW w:w="1919" w:type="dxa"/>
            <w:tcBorders>
              <w:top w:val="single" w:sz="4" w:space="0" w:color="auto"/>
              <w:bottom w:val="single" w:sz="4" w:space="0" w:color="auto"/>
            </w:tcBorders>
          </w:tcPr>
          <w:p w14:paraId="0BAB767F" w14:textId="39DC9FDA" w:rsidR="006905CB" w:rsidRPr="00C37839" w:rsidRDefault="00365DDB" w:rsidP="00EC183E">
            <w:pPr>
              <w:cnfStyle w:val="000000000000" w:firstRow="0" w:lastRow="0" w:firstColumn="0" w:lastColumn="0" w:oddVBand="0" w:evenVBand="0" w:oddHBand="0" w:evenHBand="0" w:firstRowFirstColumn="0" w:firstRowLastColumn="0" w:lastRowFirstColumn="0" w:lastRowLastColumn="0"/>
              <w:rPr>
                <w:szCs w:val="22"/>
              </w:rPr>
            </w:pPr>
            <w:r w:rsidRPr="00C37839">
              <w:rPr>
                <w:szCs w:val="22"/>
              </w:rPr>
              <w:t xml:space="preserve">83% AP (2tabs/day) </w:t>
            </w:r>
            <w:r w:rsidR="006905CB" w:rsidRPr="00C37839">
              <w:rPr>
                <w:szCs w:val="22"/>
              </w:rPr>
              <w:t xml:space="preserve">vs. </w:t>
            </w:r>
            <w:r w:rsidRPr="00C37839">
              <w:rPr>
                <w:szCs w:val="22"/>
              </w:rPr>
              <w:t>79% AP (1 tab/day)</w:t>
            </w:r>
            <w:r w:rsidR="00EC183E" w:rsidRPr="00C37839">
              <w:rPr>
                <w:szCs w:val="22"/>
              </w:rPr>
              <w:t xml:space="preserve"> </w:t>
            </w:r>
            <w:r w:rsidRPr="00C37839">
              <w:rPr>
                <w:szCs w:val="22"/>
              </w:rPr>
              <w:t xml:space="preserve">vs. </w:t>
            </w:r>
            <w:r w:rsidR="006905CB" w:rsidRPr="00C37839">
              <w:rPr>
                <w:szCs w:val="22"/>
              </w:rPr>
              <w:t xml:space="preserve">48% placebo </w:t>
            </w:r>
            <w:r w:rsidRPr="00C37839">
              <w:rPr>
                <w:szCs w:val="22"/>
              </w:rPr>
              <w:t>(p&lt;0.001)</w:t>
            </w:r>
          </w:p>
        </w:tc>
      </w:tr>
      <w:tr w:rsidR="006905CB" w:rsidRPr="00B968AE" w14:paraId="2E005FE6" w14:textId="77777777" w:rsidTr="00420C37">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bottom w:val="single" w:sz="4" w:space="0" w:color="auto"/>
            </w:tcBorders>
          </w:tcPr>
          <w:p w14:paraId="2D22A026" w14:textId="77777777" w:rsidR="000D12D2" w:rsidRDefault="006905CB" w:rsidP="00771BD6">
            <w:pPr>
              <w:rPr>
                <w:szCs w:val="22"/>
              </w:rPr>
            </w:pPr>
            <w:r w:rsidRPr="00B968AE">
              <w:rPr>
                <w:szCs w:val="22"/>
              </w:rPr>
              <w:t xml:space="preserve">Zambia </w:t>
            </w:r>
          </w:p>
          <w:p w14:paraId="74843534" w14:textId="014B562B" w:rsidR="00420C37" w:rsidRPr="00B968AE" w:rsidRDefault="000D12D2" w:rsidP="00771BD6">
            <w:pPr>
              <w:rPr>
                <w:szCs w:val="22"/>
              </w:rPr>
            </w:pPr>
            <w:r>
              <w:rPr>
                <w:szCs w:val="22"/>
              </w:rPr>
              <w:t>(semi-immune adults 18-65 y</w:t>
            </w:r>
            <w:r w:rsidR="0055372E">
              <w:rPr>
                <w:szCs w:val="22"/>
              </w:rPr>
              <w:t>ea</w:t>
            </w:r>
            <w:r w:rsidR="006905CB" w:rsidRPr="00B968AE">
              <w:rPr>
                <w:szCs w:val="22"/>
              </w:rPr>
              <w:t>rs old)</w:t>
            </w:r>
          </w:p>
        </w:tc>
        <w:tc>
          <w:tcPr>
            <w:tcW w:w="2430" w:type="dxa"/>
            <w:tcBorders>
              <w:top w:val="single" w:sz="4" w:space="0" w:color="auto"/>
              <w:bottom w:val="single" w:sz="4" w:space="0" w:color="auto"/>
            </w:tcBorders>
          </w:tcPr>
          <w:p w14:paraId="0EFA147D" w14:textId="257DEA57" w:rsidR="006A6579" w:rsidRPr="00B968AE" w:rsidRDefault="006905CB" w:rsidP="00771BD6">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Randomized, double-blind, placebo-controlled</w:t>
            </w:r>
          </w:p>
        </w:tc>
        <w:tc>
          <w:tcPr>
            <w:tcW w:w="1231" w:type="dxa"/>
            <w:tcBorders>
              <w:top w:val="single" w:sz="4" w:space="0" w:color="auto"/>
              <w:bottom w:val="single" w:sz="4" w:space="0" w:color="auto"/>
            </w:tcBorders>
          </w:tcPr>
          <w:p w14:paraId="2AF0B7FC" w14:textId="09A0CDF9" w:rsidR="006905CB" w:rsidRPr="00B968AE" w:rsidRDefault="00C056C5" w:rsidP="00771BD6">
            <w:pPr>
              <w:cnfStyle w:val="000000000000" w:firstRow="0" w:lastRow="0" w:firstColumn="0" w:lastColumn="0" w:oddVBand="0" w:evenVBand="0" w:oddHBand="0" w:evenHBand="0" w:firstRowFirstColumn="0" w:firstRowLastColumn="0" w:lastRowFirstColumn="0" w:lastRowLastColumn="0"/>
              <w:rPr>
                <w:szCs w:val="22"/>
              </w:rPr>
            </w:pPr>
            <w:r>
              <w:rPr>
                <w:szCs w:val="22"/>
              </w:rPr>
              <w:t>272</w:t>
            </w:r>
          </w:p>
        </w:tc>
        <w:tc>
          <w:tcPr>
            <w:tcW w:w="1430" w:type="dxa"/>
            <w:tcBorders>
              <w:top w:val="single" w:sz="4" w:space="0" w:color="auto"/>
              <w:bottom w:val="single" w:sz="4" w:space="0" w:color="auto"/>
            </w:tcBorders>
          </w:tcPr>
          <w:p w14:paraId="6FCEF757" w14:textId="77777777" w:rsidR="006905CB" w:rsidRPr="00B968AE" w:rsidRDefault="006905CB" w:rsidP="00771BD6">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 xml:space="preserve">10 weeks </w:t>
            </w:r>
          </w:p>
        </w:tc>
        <w:tc>
          <w:tcPr>
            <w:tcW w:w="1919" w:type="dxa"/>
            <w:tcBorders>
              <w:top w:val="single" w:sz="4" w:space="0" w:color="auto"/>
              <w:bottom w:val="single" w:sz="4" w:space="0" w:color="auto"/>
            </w:tcBorders>
          </w:tcPr>
          <w:p w14:paraId="7A22E84D" w14:textId="77777777" w:rsidR="006905CB" w:rsidRPr="00C37839" w:rsidRDefault="00C056C5" w:rsidP="00C056C5">
            <w:pPr>
              <w:cnfStyle w:val="000000000000" w:firstRow="0" w:lastRow="0" w:firstColumn="0" w:lastColumn="0" w:oddVBand="0" w:evenVBand="0" w:oddHBand="0" w:evenHBand="0" w:firstRowFirstColumn="0" w:firstRowLastColumn="0" w:lastRowFirstColumn="0" w:lastRowLastColumn="0"/>
              <w:rPr>
                <w:szCs w:val="22"/>
              </w:rPr>
            </w:pPr>
            <w:r w:rsidRPr="00C37839">
              <w:rPr>
                <w:szCs w:val="22"/>
              </w:rPr>
              <w:t>75</w:t>
            </w:r>
            <w:r w:rsidR="006905CB" w:rsidRPr="00C37839">
              <w:rPr>
                <w:szCs w:val="22"/>
              </w:rPr>
              <w:t>%</w:t>
            </w:r>
            <w:r w:rsidRPr="00C37839">
              <w:rPr>
                <w:szCs w:val="22"/>
              </w:rPr>
              <w:t xml:space="preserve"> AP vs. 51</w:t>
            </w:r>
            <w:r w:rsidR="006905CB" w:rsidRPr="00C37839">
              <w:rPr>
                <w:szCs w:val="22"/>
              </w:rPr>
              <w:t xml:space="preserve">% placebo </w:t>
            </w:r>
          </w:p>
          <w:p w14:paraId="71F3B8AB" w14:textId="5FED4689" w:rsidR="006A6579" w:rsidRPr="00C37839" w:rsidRDefault="009A01C1" w:rsidP="00EC183E">
            <w:pPr>
              <w:cnfStyle w:val="000000000000" w:firstRow="0" w:lastRow="0" w:firstColumn="0" w:lastColumn="0" w:oddVBand="0" w:evenVBand="0" w:oddHBand="0" w:evenHBand="0" w:firstRowFirstColumn="0" w:firstRowLastColumn="0" w:lastRowFirstColumn="0" w:lastRowLastColumn="0"/>
              <w:rPr>
                <w:szCs w:val="22"/>
              </w:rPr>
            </w:pPr>
            <w:r w:rsidRPr="00C37839">
              <w:rPr>
                <w:szCs w:val="22"/>
              </w:rPr>
              <w:t>(p&lt;0.001</w:t>
            </w:r>
            <w:r w:rsidR="00EC183E" w:rsidRPr="00C37839">
              <w:rPr>
                <w:szCs w:val="22"/>
              </w:rPr>
              <w:t>)</w:t>
            </w:r>
          </w:p>
        </w:tc>
      </w:tr>
    </w:tbl>
    <w:p w14:paraId="31CD6BF4" w14:textId="6D44F926" w:rsidR="00BF7A46" w:rsidRPr="00BF7A46" w:rsidRDefault="00BF7A46">
      <w:pPr>
        <w:rPr>
          <w:szCs w:val="22"/>
        </w:rPr>
      </w:pPr>
      <w:proofErr w:type="gramStart"/>
      <w:r>
        <w:rPr>
          <w:szCs w:val="22"/>
          <w:vertAlign w:val="superscript"/>
        </w:rPr>
        <w:t>a</w:t>
      </w:r>
      <w:proofErr w:type="gramEnd"/>
      <w:r>
        <w:rPr>
          <w:szCs w:val="22"/>
          <w:vertAlign w:val="superscript"/>
        </w:rPr>
        <w:t xml:space="preserve"> </w:t>
      </w:r>
      <w:r w:rsidR="007D77BC">
        <w:rPr>
          <w:szCs w:val="22"/>
        </w:rPr>
        <w:t xml:space="preserve">Data obtained from </w:t>
      </w:r>
      <w:r w:rsidR="00C51EC6">
        <w:rPr>
          <w:szCs w:val="22"/>
        </w:rPr>
        <w:t xml:space="preserve">FDA Medical Review </w:t>
      </w:r>
    </w:p>
    <w:p w14:paraId="3D47523D" w14:textId="223C6C42" w:rsidR="00E41E77" w:rsidRDefault="00E922FF">
      <w:pPr>
        <w:rPr>
          <w:szCs w:val="22"/>
        </w:rPr>
      </w:pPr>
      <w:proofErr w:type="gramStart"/>
      <w:r>
        <w:rPr>
          <w:szCs w:val="22"/>
          <w:vertAlign w:val="superscript"/>
        </w:rPr>
        <w:t>b</w:t>
      </w:r>
      <w:proofErr w:type="gramEnd"/>
      <w:r w:rsidR="00021B43">
        <w:rPr>
          <w:szCs w:val="22"/>
          <w:vertAlign w:val="superscript"/>
        </w:rPr>
        <w:t xml:space="preserve"> </w:t>
      </w:r>
      <w:r w:rsidR="00C51EC6">
        <w:rPr>
          <w:szCs w:val="22"/>
        </w:rPr>
        <w:t>95% CI and p values provided when available</w:t>
      </w:r>
    </w:p>
    <w:p w14:paraId="31EBB621" w14:textId="051D0E40" w:rsidR="000E4F93" w:rsidRDefault="000E4F93">
      <w:pPr>
        <w:rPr>
          <w:szCs w:val="22"/>
        </w:rPr>
      </w:pPr>
      <w:proofErr w:type="gramStart"/>
      <w:r w:rsidRPr="000E4F93">
        <w:rPr>
          <w:szCs w:val="22"/>
          <w:vertAlign w:val="superscript"/>
        </w:rPr>
        <w:t>c</w:t>
      </w:r>
      <w:proofErr w:type="gramEnd"/>
      <w:r>
        <w:rPr>
          <w:szCs w:val="22"/>
        </w:rPr>
        <w:t xml:space="preserve"> All subjects received 4 tablets of atovaquone/proguanil daily x 3 days. Then, patients were randomized to one of the 3 suppressive treatment regimens: atovaquone/proguanil 1 tablet </w:t>
      </w:r>
      <w:r w:rsidR="00420C33">
        <w:rPr>
          <w:szCs w:val="22"/>
        </w:rPr>
        <w:t xml:space="preserve">or </w:t>
      </w:r>
      <w:r>
        <w:rPr>
          <w:szCs w:val="22"/>
        </w:rPr>
        <w:t>2 tablets per day or placebo daily</w:t>
      </w:r>
    </w:p>
    <w:p w14:paraId="016A9DA2" w14:textId="3EFFE1D8" w:rsidR="00BA6527" w:rsidRDefault="00A60B9C" w:rsidP="00BA6527">
      <w:pPr>
        <w:rPr>
          <w:szCs w:val="22"/>
        </w:rPr>
      </w:pPr>
      <w:r>
        <w:rPr>
          <w:szCs w:val="22"/>
        </w:rPr>
        <w:t>AP=</w:t>
      </w:r>
      <w:r w:rsidR="00BA6527">
        <w:rPr>
          <w:szCs w:val="22"/>
        </w:rPr>
        <w:t>Atovaquone/proguanil</w:t>
      </w:r>
    </w:p>
    <w:p w14:paraId="74F24632" w14:textId="77777777" w:rsidR="002327B8" w:rsidRDefault="002327B8">
      <w:pPr>
        <w:rPr>
          <w:b/>
          <w:szCs w:val="22"/>
        </w:rPr>
      </w:pPr>
    </w:p>
    <w:p w14:paraId="4059DC2D" w14:textId="46F330E8" w:rsidR="00C37839" w:rsidRDefault="00C37839" w:rsidP="00C37839">
      <w:pPr>
        <w:rPr>
          <w:szCs w:val="22"/>
        </w:rPr>
      </w:pPr>
      <w:r>
        <w:rPr>
          <w:szCs w:val="22"/>
        </w:rPr>
        <w:t xml:space="preserve">The FDA approval of </w:t>
      </w:r>
      <w:proofErr w:type="spellStart"/>
      <w:r>
        <w:rPr>
          <w:szCs w:val="22"/>
        </w:rPr>
        <w:t>atovaquone</w:t>
      </w:r>
      <w:proofErr w:type="spellEnd"/>
      <w:r>
        <w:rPr>
          <w:szCs w:val="22"/>
        </w:rPr>
        <w:t>/</w:t>
      </w:r>
      <w:proofErr w:type="spellStart"/>
      <w:r>
        <w:rPr>
          <w:szCs w:val="22"/>
        </w:rPr>
        <w:t>proguanil</w:t>
      </w:r>
      <w:proofErr w:type="spellEnd"/>
      <w:r>
        <w:rPr>
          <w:szCs w:val="22"/>
        </w:rPr>
        <w:t xml:space="preserve"> in 2000 relied on clinical studies performed in malaria-endemic areas where study subjects were presumed to partially immune to malaria as described in Table 2. The prophylactic efficacy of </w:t>
      </w:r>
      <w:proofErr w:type="spellStart"/>
      <w:r>
        <w:rPr>
          <w:szCs w:val="22"/>
        </w:rPr>
        <w:t>atovaquone</w:t>
      </w:r>
      <w:proofErr w:type="spellEnd"/>
      <w:r>
        <w:rPr>
          <w:szCs w:val="22"/>
        </w:rPr>
        <w:t>/</w:t>
      </w:r>
      <w:proofErr w:type="spellStart"/>
      <w:r>
        <w:rPr>
          <w:szCs w:val="22"/>
        </w:rPr>
        <w:t>proguanil</w:t>
      </w:r>
      <w:proofErr w:type="spellEnd"/>
      <w:r>
        <w:rPr>
          <w:szCs w:val="22"/>
        </w:rPr>
        <w:t xml:space="preserve"> in non-immune </w:t>
      </w:r>
      <w:r w:rsidR="0037697B">
        <w:rPr>
          <w:szCs w:val="22"/>
        </w:rPr>
        <w:t xml:space="preserve">subjects was not well-studied.  </w:t>
      </w:r>
      <w:r>
        <w:rPr>
          <w:szCs w:val="22"/>
        </w:rPr>
        <w:t xml:space="preserve">On this basis, two phase 4 international, multicenter, randomized, double-blind, active-controlled trials in non-immune travelers were requested by the FDA, following initial approval of </w:t>
      </w:r>
      <w:proofErr w:type="spellStart"/>
      <w:r>
        <w:rPr>
          <w:szCs w:val="22"/>
        </w:rPr>
        <w:t>atovaquone</w:t>
      </w:r>
      <w:proofErr w:type="spellEnd"/>
      <w:r>
        <w:rPr>
          <w:szCs w:val="22"/>
        </w:rPr>
        <w:t>/</w:t>
      </w:r>
      <w:proofErr w:type="spellStart"/>
      <w:r>
        <w:rPr>
          <w:szCs w:val="22"/>
        </w:rPr>
        <w:t>proguanil</w:t>
      </w:r>
      <w:proofErr w:type="spellEnd"/>
      <w:r>
        <w:rPr>
          <w:szCs w:val="22"/>
        </w:rPr>
        <w:t>. These studies differed primarily in comparators used (</w:t>
      </w:r>
      <w:proofErr w:type="spellStart"/>
      <w:r>
        <w:rPr>
          <w:szCs w:val="22"/>
        </w:rPr>
        <w:t>atovaquone</w:t>
      </w:r>
      <w:proofErr w:type="spellEnd"/>
      <w:r>
        <w:rPr>
          <w:szCs w:val="22"/>
        </w:rPr>
        <w:t>/</w:t>
      </w:r>
      <w:proofErr w:type="spellStart"/>
      <w:r>
        <w:rPr>
          <w:szCs w:val="22"/>
        </w:rPr>
        <w:t>proguanil</w:t>
      </w:r>
      <w:proofErr w:type="spellEnd"/>
      <w:r>
        <w:rPr>
          <w:szCs w:val="22"/>
        </w:rPr>
        <w:t xml:space="preserve"> vs. </w:t>
      </w:r>
      <w:proofErr w:type="spellStart"/>
      <w:r>
        <w:rPr>
          <w:szCs w:val="22"/>
        </w:rPr>
        <w:t>mefloquine</w:t>
      </w:r>
      <w:proofErr w:type="spellEnd"/>
      <w:r>
        <w:rPr>
          <w:szCs w:val="22"/>
        </w:rPr>
        <w:t xml:space="preserve"> or </w:t>
      </w:r>
      <w:proofErr w:type="spellStart"/>
      <w:r>
        <w:rPr>
          <w:szCs w:val="22"/>
        </w:rPr>
        <w:t>chloroquine</w:t>
      </w:r>
      <w:proofErr w:type="spellEnd"/>
      <w:r>
        <w:rPr>
          <w:szCs w:val="22"/>
        </w:rPr>
        <w:t>/</w:t>
      </w:r>
      <w:proofErr w:type="spellStart"/>
      <w:r>
        <w:rPr>
          <w:szCs w:val="22"/>
        </w:rPr>
        <w:t>proguanil</w:t>
      </w:r>
      <w:proofErr w:type="spellEnd"/>
      <w:r>
        <w:rPr>
          <w:szCs w:val="22"/>
        </w:rPr>
        <w:t xml:space="preserve">). For both studies, the primary objective was to evaluate adverse event rates, and the secondary objective was to evaluate prophylactic efficacy. </w:t>
      </w:r>
      <w:r w:rsidRPr="00C37839">
        <w:rPr>
          <w:szCs w:val="22"/>
        </w:rPr>
        <w:t>Overall, the prophylactic efficacies for these two studies were 99% for both treatment groups</w:t>
      </w:r>
      <w:r>
        <w:rPr>
          <w:szCs w:val="22"/>
        </w:rPr>
        <w:t xml:space="preserve">. The FDA reviewer indicated that the two studies were not powered to demonstrate comparative efficacy but stated that the results suggested all regimens used in the studies are effective for malaria prophylaxis. </w:t>
      </w:r>
    </w:p>
    <w:p w14:paraId="52606E62" w14:textId="77777777" w:rsidR="00C37839" w:rsidRDefault="00C37839" w:rsidP="00C37839">
      <w:pPr>
        <w:rPr>
          <w:szCs w:val="22"/>
        </w:rPr>
      </w:pPr>
    </w:p>
    <w:p w14:paraId="58777CBE" w14:textId="77777777" w:rsidR="00C37839" w:rsidRDefault="00C37839" w:rsidP="00C37839">
      <w:pPr>
        <w:rPr>
          <w:szCs w:val="22"/>
        </w:rPr>
      </w:pPr>
      <w:r>
        <w:rPr>
          <w:szCs w:val="22"/>
        </w:rPr>
        <w:t>S</w:t>
      </w:r>
      <w:r w:rsidRPr="00B968AE">
        <w:rPr>
          <w:szCs w:val="22"/>
        </w:rPr>
        <w:t xml:space="preserve">ince FDA approval, there have been more clinical trials </w:t>
      </w:r>
      <w:r>
        <w:rPr>
          <w:szCs w:val="22"/>
        </w:rPr>
        <w:t xml:space="preserve">that </w:t>
      </w:r>
      <w:r w:rsidRPr="00B968AE">
        <w:rPr>
          <w:szCs w:val="22"/>
        </w:rPr>
        <w:t xml:space="preserve">assessed efficacy of </w:t>
      </w:r>
      <w:proofErr w:type="spellStart"/>
      <w:r w:rsidRPr="00B968AE">
        <w:rPr>
          <w:szCs w:val="22"/>
        </w:rPr>
        <w:t>atovaquone</w:t>
      </w:r>
      <w:proofErr w:type="spellEnd"/>
      <w:r w:rsidRPr="00B968AE">
        <w:rPr>
          <w:szCs w:val="22"/>
        </w:rPr>
        <w:t>/</w:t>
      </w:r>
      <w:proofErr w:type="spellStart"/>
      <w:r w:rsidRPr="00B968AE">
        <w:rPr>
          <w:szCs w:val="22"/>
        </w:rPr>
        <w:t>proguanil</w:t>
      </w:r>
      <w:proofErr w:type="spellEnd"/>
      <w:r w:rsidRPr="00B968AE">
        <w:rPr>
          <w:szCs w:val="22"/>
        </w:rPr>
        <w:t xml:space="preserve">; please refer to the </w:t>
      </w:r>
      <w:r>
        <w:rPr>
          <w:szCs w:val="22"/>
        </w:rPr>
        <w:t xml:space="preserve">review </w:t>
      </w:r>
      <w:r w:rsidRPr="00B968AE">
        <w:rPr>
          <w:szCs w:val="22"/>
        </w:rPr>
        <w:t xml:space="preserve">article written by </w:t>
      </w:r>
      <w:proofErr w:type="spellStart"/>
      <w:r w:rsidRPr="00B968AE">
        <w:rPr>
          <w:szCs w:val="22"/>
        </w:rPr>
        <w:t>Boggild</w:t>
      </w:r>
      <w:proofErr w:type="spellEnd"/>
      <w:r w:rsidRPr="00B968AE">
        <w:rPr>
          <w:szCs w:val="22"/>
        </w:rPr>
        <w:t xml:space="preserve"> A and colleagues </w:t>
      </w:r>
      <w:r>
        <w:rPr>
          <w:szCs w:val="22"/>
        </w:rPr>
        <w:t xml:space="preserve">for summary of additional trials data </w:t>
      </w:r>
      <w:r w:rsidRPr="00B968AE">
        <w:rPr>
          <w:szCs w:val="22"/>
        </w:rPr>
        <w:t xml:space="preserve">(reference #19). </w:t>
      </w:r>
      <w:r>
        <w:rPr>
          <w:szCs w:val="22"/>
        </w:rPr>
        <w:t xml:space="preserve"> </w:t>
      </w:r>
    </w:p>
    <w:p w14:paraId="46B86931" w14:textId="77777777" w:rsidR="00420C33" w:rsidRDefault="00420C33">
      <w:pPr>
        <w:rPr>
          <w:b/>
          <w:szCs w:val="22"/>
        </w:rPr>
      </w:pPr>
    </w:p>
    <w:p w14:paraId="46082801" w14:textId="17104197" w:rsidR="00B435BE" w:rsidRPr="004E2A4C" w:rsidRDefault="007B30C3">
      <w:pPr>
        <w:rPr>
          <w:b/>
          <w:szCs w:val="22"/>
        </w:rPr>
      </w:pPr>
      <w:r>
        <w:rPr>
          <w:b/>
          <w:szCs w:val="22"/>
        </w:rPr>
        <w:t>Treatment</w:t>
      </w:r>
    </w:p>
    <w:p w14:paraId="673128CD" w14:textId="283BAF44" w:rsidR="00EE6F57" w:rsidRPr="00B968AE" w:rsidRDefault="00A07D98">
      <w:pPr>
        <w:rPr>
          <w:szCs w:val="22"/>
        </w:rPr>
      </w:pPr>
      <w:r w:rsidRPr="00B968AE">
        <w:rPr>
          <w:szCs w:val="22"/>
        </w:rPr>
        <w:t xml:space="preserve">In 3 phase II clinical trials, atovaquone alone, proguanil alone, and fixed dose atovaquone/proguanil were evaluated for the treatment of acute, uncomplicated malaria caused by </w:t>
      </w:r>
      <w:r w:rsidRPr="00ED4259">
        <w:rPr>
          <w:i/>
          <w:szCs w:val="22"/>
        </w:rPr>
        <w:t>P</w:t>
      </w:r>
      <w:r w:rsidRPr="00BF7A46">
        <w:rPr>
          <w:szCs w:val="22"/>
        </w:rPr>
        <w:t>.</w:t>
      </w:r>
      <w:r w:rsidRPr="00B968AE">
        <w:rPr>
          <w:szCs w:val="22"/>
        </w:rPr>
        <w:t xml:space="preserve"> </w:t>
      </w:r>
      <w:r w:rsidRPr="00B968AE">
        <w:rPr>
          <w:i/>
          <w:szCs w:val="22"/>
        </w:rPr>
        <w:t>falciparum</w:t>
      </w:r>
      <w:r w:rsidRPr="00B968AE">
        <w:rPr>
          <w:szCs w:val="22"/>
        </w:rPr>
        <w:t xml:space="preserve">. </w:t>
      </w:r>
      <w:r w:rsidR="006E430A" w:rsidRPr="00B968AE">
        <w:rPr>
          <w:szCs w:val="22"/>
        </w:rPr>
        <w:t>The study evaluated 156 patients, the parasitological cure rate</w:t>
      </w:r>
      <w:r w:rsidR="00D23B7D" w:rsidRPr="00B968AE">
        <w:rPr>
          <w:szCs w:val="22"/>
        </w:rPr>
        <w:t>s</w:t>
      </w:r>
      <w:r w:rsidR="006E430A" w:rsidRPr="00B968AE">
        <w:rPr>
          <w:szCs w:val="22"/>
        </w:rPr>
        <w:t xml:space="preserve"> </w:t>
      </w:r>
      <w:r w:rsidR="00D23B7D" w:rsidRPr="00B968AE">
        <w:rPr>
          <w:szCs w:val="22"/>
        </w:rPr>
        <w:t>were</w:t>
      </w:r>
      <w:r w:rsidR="006E430A" w:rsidRPr="00B968AE">
        <w:rPr>
          <w:szCs w:val="22"/>
        </w:rPr>
        <w:t xml:space="preserve"> 66% vs. 6% vs. 100% for atovaquone, proguanil, and </w:t>
      </w:r>
      <w:r w:rsidR="0086443E">
        <w:rPr>
          <w:szCs w:val="22"/>
        </w:rPr>
        <w:t xml:space="preserve">fixed dose atovaquone/proguanil, </w:t>
      </w:r>
      <w:r w:rsidR="006E430A" w:rsidRPr="00B968AE">
        <w:rPr>
          <w:szCs w:val="22"/>
        </w:rPr>
        <w:t xml:space="preserve">respectively. </w:t>
      </w:r>
    </w:p>
    <w:p w14:paraId="573F5A43" w14:textId="77777777" w:rsidR="00A07D98" w:rsidRPr="00B968AE" w:rsidRDefault="00A07D98">
      <w:pPr>
        <w:rPr>
          <w:b/>
          <w:szCs w:val="22"/>
          <w:u w:val="single"/>
        </w:rPr>
      </w:pPr>
    </w:p>
    <w:p w14:paraId="41F3916B" w14:textId="5EB4C95F" w:rsidR="00B435BE" w:rsidRPr="005212B2" w:rsidRDefault="00E64F08">
      <w:pPr>
        <w:rPr>
          <w:szCs w:val="22"/>
        </w:rPr>
      </w:pPr>
      <w:r>
        <w:rPr>
          <w:szCs w:val="22"/>
        </w:rPr>
        <w:t>For the FDA review, t</w:t>
      </w:r>
      <w:r w:rsidR="00B435BE" w:rsidRPr="00B968AE">
        <w:rPr>
          <w:szCs w:val="22"/>
        </w:rPr>
        <w:t>he fixed dose combinati</w:t>
      </w:r>
      <w:r w:rsidR="00CE7765" w:rsidRPr="00B968AE">
        <w:rPr>
          <w:szCs w:val="22"/>
        </w:rPr>
        <w:t>on of a</w:t>
      </w:r>
      <w:r w:rsidR="00B435BE" w:rsidRPr="00B968AE">
        <w:rPr>
          <w:szCs w:val="22"/>
        </w:rPr>
        <w:t>tovaquone</w:t>
      </w:r>
      <w:r w:rsidR="00E7153A">
        <w:rPr>
          <w:szCs w:val="22"/>
        </w:rPr>
        <w:t>/</w:t>
      </w:r>
      <w:r w:rsidR="00B435BE" w:rsidRPr="00B968AE">
        <w:rPr>
          <w:szCs w:val="22"/>
        </w:rPr>
        <w:t xml:space="preserve">proguanil was evaluated for the treatment of acute, uncomplicated malaria in 8 phase III controlled clinical trials, of which, </w:t>
      </w:r>
      <w:r w:rsidR="00150353">
        <w:rPr>
          <w:szCs w:val="22"/>
        </w:rPr>
        <w:t>7</w:t>
      </w:r>
      <w:r w:rsidR="00B435BE" w:rsidRPr="00B968AE">
        <w:rPr>
          <w:szCs w:val="22"/>
        </w:rPr>
        <w:t xml:space="preserve"> trials were active-co</w:t>
      </w:r>
      <w:r w:rsidR="00FB7EC6">
        <w:rPr>
          <w:szCs w:val="22"/>
        </w:rPr>
        <w:t>ntrolled trials, o</w:t>
      </w:r>
      <w:r w:rsidR="00C056C5">
        <w:rPr>
          <w:szCs w:val="22"/>
        </w:rPr>
        <w:t>ne</w:t>
      </w:r>
      <w:r w:rsidR="0008659D">
        <w:rPr>
          <w:szCs w:val="22"/>
        </w:rPr>
        <w:t xml:space="preserve"> </w:t>
      </w:r>
      <w:r w:rsidR="00C056C5">
        <w:rPr>
          <w:szCs w:val="22"/>
        </w:rPr>
        <w:t>trial was</w:t>
      </w:r>
      <w:r w:rsidR="0008659D">
        <w:rPr>
          <w:szCs w:val="22"/>
        </w:rPr>
        <w:t xml:space="preserve"> evaluated in pediatric population and not included in this review</w:t>
      </w:r>
      <w:r w:rsidR="002E2C07">
        <w:rPr>
          <w:szCs w:val="22"/>
        </w:rPr>
        <w:t xml:space="preserve"> (Table 3)</w:t>
      </w:r>
      <w:r w:rsidR="0008659D">
        <w:rPr>
          <w:szCs w:val="22"/>
        </w:rPr>
        <w:t xml:space="preserve">. </w:t>
      </w:r>
      <w:r w:rsidR="005B49F5" w:rsidRPr="00B968AE">
        <w:rPr>
          <w:szCs w:val="22"/>
        </w:rPr>
        <w:t>In these</w:t>
      </w:r>
      <w:r w:rsidR="0039048B">
        <w:rPr>
          <w:szCs w:val="22"/>
        </w:rPr>
        <w:t xml:space="preserve"> </w:t>
      </w:r>
      <w:r w:rsidR="005B49F5" w:rsidRPr="00B968AE">
        <w:rPr>
          <w:szCs w:val="22"/>
        </w:rPr>
        <w:t>trials, the primary efficacy endpoint was</w:t>
      </w:r>
      <w:r w:rsidR="00BF7670" w:rsidRPr="00B968AE">
        <w:rPr>
          <w:szCs w:val="22"/>
        </w:rPr>
        <w:t xml:space="preserve"> cure rate defined as</w:t>
      </w:r>
      <w:r w:rsidR="002E141B" w:rsidRPr="00B968AE">
        <w:rPr>
          <w:szCs w:val="22"/>
        </w:rPr>
        <w:t xml:space="preserve"> </w:t>
      </w:r>
      <w:r w:rsidR="005B49F5" w:rsidRPr="00B968AE">
        <w:rPr>
          <w:szCs w:val="22"/>
        </w:rPr>
        <w:t xml:space="preserve">parasite clearance within 7 days </w:t>
      </w:r>
      <w:r w:rsidR="00BF7670" w:rsidRPr="00B968AE">
        <w:rPr>
          <w:szCs w:val="22"/>
        </w:rPr>
        <w:t>without recurrence up to day 28</w:t>
      </w:r>
      <w:r w:rsidR="005B49F5" w:rsidRPr="00B968AE">
        <w:rPr>
          <w:szCs w:val="22"/>
        </w:rPr>
        <w:t xml:space="preserve">. </w:t>
      </w:r>
      <w:r w:rsidR="0008659D">
        <w:rPr>
          <w:szCs w:val="22"/>
        </w:rPr>
        <w:t xml:space="preserve"> The recommended dose of atovaquone/proguanil</w:t>
      </w:r>
      <w:r w:rsidR="00ED64F2" w:rsidRPr="00B968AE">
        <w:rPr>
          <w:szCs w:val="22"/>
        </w:rPr>
        <w:t xml:space="preserve"> in all clinical trials was 4 tablets once daily </w:t>
      </w:r>
      <w:r w:rsidR="00FB7EC6">
        <w:rPr>
          <w:szCs w:val="22"/>
        </w:rPr>
        <w:t xml:space="preserve">(1000mg/400mg) </w:t>
      </w:r>
      <w:r w:rsidR="00ED64F2" w:rsidRPr="00B968AE">
        <w:rPr>
          <w:szCs w:val="22"/>
        </w:rPr>
        <w:t xml:space="preserve">for 3 days. </w:t>
      </w:r>
      <w:r w:rsidR="009C323F" w:rsidRPr="00B968AE">
        <w:rPr>
          <w:szCs w:val="22"/>
        </w:rPr>
        <w:t xml:space="preserve"> Secondary </w:t>
      </w:r>
      <w:r w:rsidR="00BF7670" w:rsidRPr="00B968AE">
        <w:rPr>
          <w:szCs w:val="22"/>
        </w:rPr>
        <w:t xml:space="preserve">efficacy </w:t>
      </w:r>
      <w:r w:rsidR="009C323F" w:rsidRPr="00B968AE">
        <w:rPr>
          <w:szCs w:val="22"/>
        </w:rPr>
        <w:t xml:space="preserve">endpoints included parasite clearance time </w:t>
      </w:r>
      <w:r w:rsidR="005F3E3E" w:rsidRPr="00B968AE">
        <w:rPr>
          <w:szCs w:val="22"/>
        </w:rPr>
        <w:t xml:space="preserve">(PCT) </w:t>
      </w:r>
      <w:r w:rsidR="009C323F" w:rsidRPr="00B968AE">
        <w:rPr>
          <w:szCs w:val="22"/>
        </w:rPr>
        <w:t xml:space="preserve">and fever clearance time </w:t>
      </w:r>
      <w:r w:rsidR="005F3E3E" w:rsidRPr="00B968AE">
        <w:rPr>
          <w:szCs w:val="22"/>
        </w:rPr>
        <w:t>(FCT). PCT was defined as the time from treatment initiation to the time of the first of three negative films. FCT was defined as the time from treatment initiation t</w:t>
      </w:r>
      <w:r w:rsidR="00CE7765" w:rsidRPr="00B968AE">
        <w:rPr>
          <w:szCs w:val="22"/>
        </w:rPr>
        <w:t>o</w:t>
      </w:r>
      <w:r w:rsidR="005F3E3E" w:rsidRPr="00B968AE">
        <w:rPr>
          <w:szCs w:val="22"/>
        </w:rPr>
        <w:t xml:space="preserve"> the time of the decrease in fever below 37.2°C that remains below this target for at least 24 hours. </w:t>
      </w:r>
      <w:r w:rsidR="0039048B">
        <w:rPr>
          <w:szCs w:val="22"/>
        </w:rPr>
        <w:t xml:space="preserve">Overall, </w:t>
      </w:r>
      <w:r w:rsidR="00F073E2">
        <w:rPr>
          <w:szCs w:val="22"/>
        </w:rPr>
        <w:t xml:space="preserve">atovaquone/proguanil was shown to be effective </w:t>
      </w:r>
      <w:r w:rsidR="005212B2">
        <w:rPr>
          <w:szCs w:val="22"/>
        </w:rPr>
        <w:t xml:space="preserve">in treating acute, </w:t>
      </w:r>
      <w:r w:rsidR="007211AC">
        <w:rPr>
          <w:szCs w:val="22"/>
        </w:rPr>
        <w:t xml:space="preserve">uncomplicated </w:t>
      </w:r>
      <w:r w:rsidR="007211AC" w:rsidRPr="00781BF7">
        <w:rPr>
          <w:i/>
          <w:szCs w:val="22"/>
        </w:rPr>
        <w:t>P</w:t>
      </w:r>
      <w:r w:rsidR="007211AC">
        <w:rPr>
          <w:szCs w:val="22"/>
        </w:rPr>
        <w:t>.</w:t>
      </w:r>
      <w:r w:rsidR="00CA307A">
        <w:rPr>
          <w:szCs w:val="22"/>
        </w:rPr>
        <w:t xml:space="preserve"> </w:t>
      </w:r>
      <w:r w:rsidR="007211AC" w:rsidRPr="00CA307A">
        <w:rPr>
          <w:i/>
          <w:szCs w:val="22"/>
        </w:rPr>
        <w:t>falciparum</w:t>
      </w:r>
      <w:r w:rsidR="005212B2" w:rsidRPr="00CA307A">
        <w:rPr>
          <w:i/>
          <w:szCs w:val="22"/>
        </w:rPr>
        <w:t xml:space="preserve"> </w:t>
      </w:r>
      <w:r w:rsidR="005212B2">
        <w:rPr>
          <w:szCs w:val="22"/>
        </w:rPr>
        <w:t xml:space="preserve">malaria.  </w:t>
      </w:r>
    </w:p>
    <w:p w14:paraId="56976431" w14:textId="160FE3B0" w:rsidR="009E4E80" w:rsidRPr="00B968AE" w:rsidRDefault="003E2BD9" w:rsidP="003E2BD9">
      <w:pPr>
        <w:rPr>
          <w:b/>
          <w:szCs w:val="22"/>
        </w:rPr>
      </w:pPr>
      <w:r w:rsidRPr="00B968AE">
        <w:rPr>
          <w:b/>
          <w:szCs w:val="22"/>
        </w:rPr>
        <w:lastRenderedPageBreak/>
        <w:t>Table 3</w:t>
      </w:r>
      <w:r w:rsidR="00756963" w:rsidRPr="00B968AE">
        <w:rPr>
          <w:b/>
          <w:szCs w:val="22"/>
        </w:rPr>
        <w:t>:</w:t>
      </w:r>
      <w:r w:rsidRPr="00B968AE">
        <w:rPr>
          <w:b/>
          <w:szCs w:val="22"/>
        </w:rPr>
        <w:t xml:space="preserve"> Efficacy of </w:t>
      </w:r>
      <w:proofErr w:type="spellStart"/>
      <w:r w:rsidRPr="00B968AE">
        <w:rPr>
          <w:b/>
          <w:szCs w:val="22"/>
        </w:rPr>
        <w:t>atovaquone</w:t>
      </w:r>
      <w:proofErr w:type="spellEnd"/>
      <w:r w:rsidRPr="00B968AE">
        <w:rPr>
          <w:b/>
          <w:szCs w:val="22"/>
        </w:rPr>
        <w:t>/</w:t>
      </w:r>
      <w:proofErr w:type="spellStart"/>
      <w:r w:rsidRPr="00B968AE">
        <w:rPr>
          <w:b/>
          <w:szCs w:val="22"/>
        </w:rPr>
        <w:t>proguanil</w:t>
      </w:r>
      <w:proofErr w:type="spellEnd"/>
      <w:r w:rsidRPr="00B968AE">
        <w:rPr>
          <w:b/>
          <w:szCs w:val="22"/>
        </w:rPr>
        <w:t xml:space="preserve"> for malaria </w:t>
      </w:r>
      <w:proofErr w:type="spellStart"/>
      <w:r w:rsidRPr="00B968AE">
        <w:rPr>
          <w:b/>
          <w:szCs w:val="22"/>
        </w:rPr>
        <w:t>treatment</w:t>
      </w:r>
      <w:r w:rsidR="00781BF7">
        <w:rPr>
          <w:b/>
          <w:szCs w:val="22"/>
          <w:vertAlign w:val="superscript"/>
        </w:rPr>
        <w:t>a</w:t>
      </w:r>
      <w:proofErr w:type="spellEnd"/>
    </w:p>
    <w:tbl>
      <w:tblPr>
        <w:tblStyle w:val="TableClassic1"/>
        <w:tblW w:w="9198" w:type="dxa"/>
        <w:tblLayout w:type="fixed"/>
        <w:tblLook w:val="04A0" w:firstRow="1" w:lastRow="0" w:firstColumn="1" w:lastColumn="0" w:noHBand="0" w:noVBand="1"/>
      </w:tblPr>
      <w:tblGrid>
        <w:gridCol w:w="1992"/>
        <w:gridCol w:w="1986"/>
        <w:gridCol w:w="1170"/>
        <w:gridCol w:w="1530"/>
        <w:gridCol w:w="1260"/>
        <w:gridCol w:w="1260"/>
      </w:tblGrid>
      <w:tr w:rsidR="00660077" w:rsidRPr="00B968AE" w14:paraId="5B38916E" w14:textId="77777777" w:rsidTr="00504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vMerge w:val="restart"/>
          </w:tcPr>
          <w:p w14:paraId="72495791" w14:textId="77777777" w:rsidR="00660077" w:rsidRPr="0086443E" w:rsidRDefault="00660077" w:rsidP="00963CDA">
            <w:pPr>
              <w:rPr>
                <w:b/>
                <w:i w:val="0"/>
                <w:szCs w:val="22"/>
              </w:rPr>
            </w:pPr>
          </w:p>
          <w:p w14:paraId="4F63EFB3" w14:textId="77777777" w:rsidR="00660077" w:rsidRPr="0086443E" w:rsidRDefault="00660077" w:rsidP="00963CDA">
            <w:pPr>
              <w:rPr>
                <w:b/>
                <w:i w:val="0"/>
                <w:szCs w:val="22"/>
              </w:rPr>
            </w:pPr>
          </w:p>
          <w:p w14:paraId="26757E37" w14:textId="3011F233" w:rsidR="00660077" w:rsidRPr="0086443E" w:rsidRDefault="00660077" w:rsidP="00963CDA">
            <w:pPr>
              <w:rPr>
                <w:b/>
                <w:i w:val="0"/>
                <w:szCs w:val="22"/>
              </w:rPr>
            </w:pPr>
            <w:r w:rsidRPr="0086443E">
              <w:rPr>
                <w:b/>
                <w:i w:val="0"/>
                <w:szCs w:val="22"/>
              </w:rPr>
              <w:t>Country (population)</w:t>
            </w:r>
          </w:p>
        </w:tc>
        <w:tc>
          <w:tcPr>
            <w:tcW w:w="1986" w:type="dxa"/>
            <w:vMerge w:val="restart"/>
            <w:tcBorders>
              <w:top w:val="single" w:sz="12" w:space="0" w:color="000000"/>
            </w:tcBorders>
          </w:tcPr>
          <w:p w14:paraId="02B159B4" w14:textId="77777777" w:rsidR="00660077" w:rsidRPr="0086443E" w:rsidRDefault="00660077" w:rsidP="007141DF">
            <w:pPr>
              <w:cnfStyle w:val="100000000000" w:firstRow="1" w:lastRow="0" w:firstColumn="0" w:lastColumn="0" w:oddVBand="0" w:evenVBand="0" w:oddHBand="0" w:evenHBand="0" w:firstRowFirstColumn="0" w:firstRowLastColumn="0" w:lastRowFirstColumn="0" w:lastRowLastColumn="0"/>
              <w:rPr>
                <w:b/>
                <w:i w:val="0"/>
                <w:szCs w:val="22"/>
              </w:rPr>
            </w:pPr>
          </w:p>
          <w:p w14:paraId="47EF961F" w14:textId="77777777" w:rsidR="00660077" w:rsidRPr="0086443E" w:rsidRDefault="00660077" w:rsidP="007141DF">
            <w:pPr>
              <w:cnfStyle w:val="100000000000" w:firstRow="1" w:lastRow="0" w:firstColumn="0" w:lastColumn="0" w:oddVBand="0" w:evenVBand="0" w:oddHBand="0" w:evenHBand="0" w:firstRowFirstColumn="0" w:firstRowLastColumn="0" w:lastRowFirstColumn="0" w:lastRowLastColumn="0"/>
              <w:rPr>
                <w:b/>
                <w:i w:val="0"/>
                <w:szCs w:val="22"/>
              </w:rPr>
            </w:pPr>
          </w:p>
          <w:p w14:paraId="0477D5CE" w14:textId="6E88FA2F" w:rsidR="00660077" w:rsidRPr="0086443E" w:rsidRDefault="00660077" w:rsidP="007141DF">
            <w:pPr>
              <w:cnfStyle w:val="100000000000" w:firstRow="1" w:lastRow="0" w:firstColumn="0" w:lastColumn="0" w:oddVBand="0" w:evenVBand="0" w:oddHBand="0" w:evenHBand="0" w:firstRowFirstColumn="0" w:firstRowLastColumn="0" w:lastRowFirstColumn="0" w:lastRowLastColumn="0"/>
              <w:rPr>
                <w:b/>
                <w:i w:val="0"/>
                <w:szCs w:val="22"/>
              </w:rPr>
            </w:pPr>
            <w:r w:rsidRPr="0086443E">
              <w:rPr>
                <w:b/>
                <w:i w:val="0"/>
                <w:szCs w:val="22"/>
              </w:rPr>
              <w:t xml:space="preserve">Study type </w:t>
            </w:r>
          </w:p>
        </w:tc>
        <w:tc>
          <w:tcPr>
            <w:tcW w:w="1170" w:type="dxa"/>
            <w:vMerge w:val="restart"/>
            <w:tcBorders>
              <w:top w:val="single" w:sz="12" w:space="0" w:color="000000"/>
            </w:tcBorders>
          </w:tcPr>
          <w:p w14:paraId="68CB03F6" w14:textId="77777777" w:rsidR="00660077" w:rsidRPr="0086443E" w:rsidRDefault="00660077" w:rsidP="007141DF">
            <w:pPr>
              <w:cnfStyle w:val="100000000000" w:firstRow="1" w:lastRow="0" w:firstColumn="0" w:lastColumn="0" w:oddVBand="0" w:evenVBand="0" w:oddHBand="0" w:evenHBand="0" w:firstRowFirstColumn="0" w:firstRowLastColumn="0" w:lastRowFirstColumn="0" w:lastRowLastColumn="0"/>
              <w:rPr>
                <w:b/>
                <w:i w:val="0"/>
                <w:szCs w:val="22"/>
              </w:rPr>
            </w:pPr>
          </w:p>
          <w:p w14:paraId="4D5EF2E9" w14:textId="77777777" w:rsidR="00660077" w:rsidRPr="0086443E" w:rsidRDefault="00660077" w:rsidP="007141DF">
            <w:pPr>
              <w:cnfStyle w:val="100000000000" w:firstRow="1" w:lastRow="0" w:firstColumn="0" w:lastColumn="0" w:oddVBand="0" w:evenVBand="0" w:oddHBand="0" w:evenHBand="0" w:firstRowFirstColumn="0" w:firstRowLastColumn="0" w:lastRowFirstColumn="0" w:lastRowLastColumn="0"/>
              <w:rPr>
                <w:b/>
                <w:i w:val="0"/>
                <w:szCs w:val="22"/>
              </w:rPr>
            </w:pPr>
          </w:p>
          <w:p w14:paraId="045200CE" w14:textId="0561D584" w:rsidR="00660077" w:rsidRPr="0086443E" w:rsidRDefault="00C056C5" w:rsidP="007141DF">
            <w:pPr>
              <w:cnfStyle w:val="100000000000" w:firstRow="1" w:lastRow="0" w:firstColumn="0" w:lastColumn="0" w:oddVBand="0" w:evenVBand="0" w:oddHBand="0" w:evenHBand="0" w:firstRowFirstColumn="0" w:firstRowLastColumn="0" w:lastRowFirstColumn="0" w:lastRowLastColumn="0"/>
              <w:rPr>
                <w:b/>
                <w:i w:val="0"/>
                <w:szCs w:val="22"/>
              </w:rPr>
            </w:pPr>
            <w:r>
              <w:rPr>
                <w:b/>
                <w:i w:val="0"/>
                <w:szCs w:val="22"/>
              </w:rPr>
              <w:t xml:space="preserve">Evaluable patients </w:t>
            </w:r>
          </w:p>
        </w:tc>
        <w:tc>
          <w:tcPr>
            <w:tcW w:w="1530" w:type="dxa"/>
            <w:tcBorders>
              <w:top w:val="single" w:sz="12" w:space="0" w:color="000000"/>
            </w:tcBorders>
          </w:tcPr>
          <w:p w14:paraId="58F57E74" w14:textId="28023FD4" w:rsidR="00660077" w:rsidRPr="0086443E" w:rsidRDefault="00660077" w:rsidP="00963CDA">
            <w:pPr>
              <w:cnfStyle w:val="100000000000" w:firstRow="1" w:lastRow="0" w:firstColumn="0" w:lastColumn="0" w:oddVBand="0" w:evenVBand="0" w:oddHBand="0" w:evenHBand="0" w:firstRowFirstColumn="0" w:firstRowLastColumn="0" w:lastRowFirstColumn="0" w:lastRowLastColumn="0"/>
              <w:rPr>
                <w:b/>
                <w:i w:val="0"/>
                <w:szCs w:val="22"/>
              </w:rPr>
            </w:pPr>
            <w:r w:rsidRPr="0086443E">
              <w:rPr>
                <w:b/>
                <w:i w:val="0"/>
                <w:szCs w:val="22"/>
              </w:rPr>
              <w:t>Primary efficacy</w:t>
            </w:r>
          </w:p>
        </w:tc>
        <w:tc>
          <w:tcPr>
            <w:tcW w:w="2520" w:type="dxa"/>
            <w:gridSpan w:val="2"/>
            <w:tcBorders>
              <w:top w:val="single" w:sz="12" w:space="0" w:color="000000"/>
            </w:tcBorders>
          </w:tcPr>
          <w:p w14:paraId="0E75E0AA" w14:textId="4E4804D0" w:rsidR="00660077" w:rsidRPr="0086443E" w:rsidRDefault="00660077" w:rsidP="007141DF">
            <w:pPr>
              <w:cnfStyle w:val="100000000000" w:firstRow="1" w:lastRow="0" w:firstColumn="0" w:lastColumn="0" w:oddVBand="0" w:evenVBand="0" w:oddHBand="0" w:evenHBand="0" w:firstRowFirstColumn="0" w:firstRowLastColumn="0" w:lastRowFirstColumn="0" w:lastRowLastColumn="0"/>
              <w:rPr>
                <w:b/>
                <w:i w:val="0"/>
                <w:szCs w:val="22"/>
              </w:rPr>
            </w:pPr>
            <w:r w:rsidRPr="0086443E">
              <w:rPr>
                <w:b/>
                <w:i w:val="0"/>
                <w:szCs w:val="22"/>
              </w:rPr>
              <w:t xml:space="preserve">Secondary efficacy </w:t>
            </w:r>
          </w:p>
        </w:tc>
      </w:tr>
      <w:tr w:rsidR="00660077" w:rsidRPr="00B968AE" w14:paraId="1A6D6CD3" w14:textId="77777777" w:rsidTr="005042BD">
        <w:tc>
          <w:tcPr>
            <w:cnfStyle w:val="001000000000" w:firstRow="0" w:lastRow="0" w:firstColumn="1" w:lastColumn="0" w:oddVBand="0" w:evenVBand="0" w:oddHBand="0" w:evenHBand="0" w:firstRowFirstColumn="0" w:firstRowLastColumn="0" w:lastRowFirstColumn="0" w:lastRowLastColumn="0"/>
            <w:tcW w:w="1992" w:type="dxa"/>
            <w:vMerge/>
            <w:tcBorders>
              <w:bottom w:val="single" w:sz="12" w:space="0" w:color="auto"/>
            </w:tcBorders>
          </w:tcPr>
          <w:p w14:paraId="36F41642" w14:textId="5FF40934" w:rsidR="00660077" w:rsidRPr="00B968AE" w:rsidRDefault="00660077" w:rsidP="00963CDA">
            <w:pPr>
              <w:rPr>
                <w:b/>
                <w:szCs w:val="22"/>
              </w:rPr>
            </w:pPr>
          </w:p>
        </w:tc>
        <w:tc>
          <w:tcPr>
            <w:tcW w:w="1986" w:type="dxa"/>
            <w:vMerge/>
            <w:tcBorders>
              <w:bottom w:val="single" w:sz="12" w:space="0" w:color="auto"/>
            </w:tcBorders>
          </w:tcPr>
          <w:p w14:paraId="4D06A2F0" w14:textId="44F4630E" w:rsidR="00660077" w:rsidRPr="00B968AE" w:rsidRDefault="00660077" w:rsidP="007141DF">
            <w:pPr>
              <w:cnfStyle w:val="000000000000" w:firstRow="0" w:lastRow="0" w:firstColumn="0" w:lastColumn="0" w:oddVBand="0" w:evenVBand="0" w:oddHBand="0" w:evenHBand="0" w:firstRowFirstColumn="0" w:firstRowLastColumn="0" w:lastRowFirstColumn="0" w:lastRowLastColumn="0"/>
              <w:rPr>
                <w:b/>
                <w:szCs w:val="22"/>
              </w:rPr>
            </w:pPr>
          </w:p>
        </w:tc>
        <w:tc>
          <w:tcPr>
            <w:tcW w:w="1170" w:type="dxa"/>
            <w:vMerge/>
            <w:tcBorders>
              <w:bottom w:val="single" w:sz="12" w:space="0" w:color="auto"/>
            </w:tcBorders>
          </w:tcPr>
          <w:p w14:paraId="12A5BD89" w14:textId="7F8B5810" w:rsidR="00660077" w:rsidRPr="00B968AE" w:rsidRDefault="00660077" w:rsidP="007141DF">
            <w:pPr>
              <w:cnfStyle w:val="000000000000" w:firstRow="0" w:lastRow="0" w:firstColumn="0" w:lastColumn="0" w:oddVBand="0" w:evenVBand="0" w:oddHBand="0" w:evenHBand="0" w:firstRowFirstColumn="0" w:firstRowLastColumn="0" w:lastRowFirstColumn="0" w:lastRowLastColumn="0"/>
              <w:rPr>
                <w:b/>
                <w:szCs w:val="22"/>
              </w:rPr>
            </w:pPr>
          </w:p>
        </w:tc>
        <w:tc>
          <w:tcPr>
            <w:tcW w:w="1530" w:type="dxa"/>
            <w:tcBorders>
              <w:bottom w:val="single" w:sz="12" w:space="0" w:color="auto"/>
            </w:tcBorders>
          </w:tcPr>
          <w:p w14:paraId="3C8A752D" w14:textId="31AC199A" w:rsidR="00660077" w:rsidRPr="0067505C" w:rsidRDefault="009F57B8" w:rsidP="00963CDA">
            <w:pPr>
              <w:cnfStyle w:val="000000000000" w:firstRow="0" w:lastRow="0" w:firstColumn="0" w:lastColumn="0" w:oddVBand="0" w:evenVBand="0" w:oddHBand="0" w:evenHBand="0" w:firstRowFirstColumn="0" w:firstRowLastColumn="0" w:lastRowFirstColumn="0" w:lastRowLastColumn="0"/>
              <w:rPr>
                <w:b/>
                <w:szCs w:val="22"/>
                <w:vertAlign w:val="superscript"/>
              </w:rPr>
            </w:pPr>
            <w:r>
              <w:rPr>
                <w:b/>
                <w:szCs w:val="22"/>
              </w:rPr>
              <w:t>Cure rate (95% CI</w:t>
            </w:r>
            <w:r w:rsidR="00660077" w:rsidRPr="00B968AE">
              <w:rPr>
                <w:b/>
                <w:szCs w:val="22"/>
              </w:rPr>
              <w:t>)</w:t>
            </w:r>
            <w:r w:rsidR="00781BF7">
              <w:rPr>
                <w:b/>
                <w:szCs w:val="22"/>
                <w:vertAlign w:val="superscript"/>
              </w:rPr>
              <w:t>b</w:t>
            </w:r>
          </w:p>
        </w:tc>
        <w:tc>
          <w:tcPr>
            <w:tcW w:w="1260" w:type="dxa"/>
            <w:tcBorders>
              <w:bottom w:val="single" w:sz="12" w:space="0" w:color="auto"/>
            </w:tcBorders>
          </w:tcPr>
          <w:p w14:paraId="4F067626" w14:textId="77777777" w:rsidR="00660077" w:rsidRPr="00B968AE" w:rsidRDefault="00660077" w:rsidP="00963CDA">
            <w:pPr>
              <w:cnfStyle w:val="000000000000" w:firstRow="0" w:lastRow="0" w:firstColumn="0" w:lastColumn="0" w:oddVBand="0" w:evenVBand="0" w:oddHBand="0" w:evenHBand="0" w:firstRowFirstColumn="0" w:firstRowLastColumn="0" w:lastRowFirstColumn="0" w:lastRowLastColumn="0"/>
              <w:rPr>
                <w:b/>
                <w:szCs w:val="22"/>
              </w:rPr>
            </w:pPr>
            <w:r w:rsidRPr="00B968AE">
              <w:rPr>
                <w:b/>
                <w:szCs w:val="22"/>
              </w:rPr>
              <w:t>Mean FCT</w:t>
            </w:r>
          </w:p>
          <w:p w14:paraId="7B64FD45" w14:textId="7DAADC59" w:rsidR="00660077" w:rsidRPr="00B968AE" w:rsidRDefault="00660077" w:rsidP="00963CDA">
            <w:pPr>
              <w:cnfStyle w:val="000000000000" w:firstRow="0" w:lastRow="0" w:firstColumn="0" w:lastColumn="0" w:oddVBand="0" w:evenVBand="0" w:oddHBand="0" w:evenHBand="0" w:firstRowFirstColumn="0" w:firstRowLastColumn="0" w:lastRowFirstColumn="0" w:lastRowLastColumn="0"/>
              <w:rPr>
                <w:b/>
                <w:szCs w:val="22"/>
              </w:rPr>
            </w:pPr>
            <w:r w:rsidRPr="00B968AE">
              <w:rPr>
                <w:b/>
                <w:szCs w:val="22"/>
              </w:rPr>
              <w:t>(hours)</w:t>
            </w:r>
            <w:r w:rsidR="00781BF7">
              <w:rPr>
                <w:b/>
                <w:szCs w:val="22"/>
                <w:vertAlign w:val="superscript"/>
              </w:rPr>
              <w:t>c</w:t>
            </w:r>
            <w:r w:rsidRPr="00BF7A46">
              <w:rPr>
                <w:b/>
                <w:szCs w:val="22"/>
                <w:vertAlign w:val="superscript"/>
              </w:rPr>
              <w:t xml:space="preserve"> </w:t>
            </w:r>
          </w:p>
        </w:tc>
        <w:tc>
          <w:tcPr>
            <w:tcW w:w="1260" w:type="dxa"/>
            <w:tcBorders>
              <w:bottom w:val="single" w:sz="12" w:space="0" w:color="auto"/>
            </w:tcBorders>
          </w:tcPr>
          <w:p w14:paraId="630BCA8B" w14:textId="77777777" w:rsidR="00660077" w:rsidRPr="00B968AE" w:rsidRDefault="00660077" w:rsidP="007141DF">
            <w:pPr>
              <w:cnfStyle w:val="000000000000" w:firstRow="0" w:lastRow="0" w:firstColumn="0" w:lastColumn="0" w:oddVBand="0" w:evenVBand="0" w:oddHBand="0" w:evenHBand="0" w:firstRowFirstColumn="0" w:firstRowLastColumn="0" w:lastRowFirstColumn="0" w:lastRowLastColumn="0"/>
              <w:rPr>
                <w:b/>
                <w:szCs w:val="22"/>
              </w:rPr>
            </w:pPr>
            <w:r w:rsidRPr="00B968AE">
              <w:rPr>
                <w:b/>
                <w:szCs w:val="22"/>
              </w:rPr>
              <w:t>Mean PCT</w:t>
            </w:r>
          </w:p>
          <w:p w14:paraId="4F52F3A5" w14:textId="516803BD" w:rsidR="00660077" w:rsidRPr="00B968AE" w:rsidRDefault="00660077" w:rsidP="007141DF">
            <w:pPr>
              <w:cnfStyle w:val="000000000000" w:firstRow="0" w:lastRow="0" w:firstColumn="0" w:lastColumn="0" w:oddVBand="0" w:evenVBand="0" w:oddHBand="0" w:evenHBand="0" w:firstRowFirstColumn="0" w:firstRowLastColumn="0" w:lastRowFirstColumn="0" w:lastRowLastColumn="0"/>
              <w:rPr>
                <w:b/>
                <w:szCs w:val="22"/>
              </w:rPr>
            </w:pPr>
            <w:r w:rsidRPr="00B968AE">
              <w:rPr>
                <w:b/>
                <w:szCs w:val="22"/>
              </w:rPr>
              <w:t>(hours)</w:t>
            </w:r>
            <w:r w:rsidR="00781BF7">
              <w:rPr>
                <w:b/>
                <w:szCs w:val="22"/>
                <w:vertAlign w:val="superscript"/>
              </w:rPr>
              <w:t>c</w:t>
            </w:r>
          </w:p>
        </w:tc>
      </w:tr>
      <w:tr w:rsidR="00CA14FE" w:rsidRPr="00B968AE" w14:paraId="3C2D2BD5" w14:textId="77777777" w:rsidTr="005042BD">
        <w:tc>
          <w:tcPr>
            <w:cnfStyle w:val="001000000000" w:firstRow="0" w:lastRow="0" w:firstColumn="1" w:lastColumn="0" w:oddVBand="0" w:evenVBand="0" w:oddHBand="0" w:evenHBand="0" w:firstRowFirstColumn="0" w:firstRowLastColumn="0" w:lastRowFirstColumn="0" w:lastRowLastColumn="0"/>
            <w:tcW w:w="1992" w:type="dxa"/>
            <w:tcBorders>
              <w:top w:val="single" w:sz="12" w:space="0" w:color="auto"/>
              <w:left w:val="nil"/>
              <w:bottom w:val="single" w:sz="4" w:space="0" w:color="auto"/>
            </w:tcBorders>
          </w:tcPr>
          <w:p w14:paraId="47AF0238" w14:textId="77777777" w:rsidR="0086443E" w:rsidRDefault="00CA14FE" w:rsidP="007141DF">
            <w:pPr>
              <w:rPr>
                <w:szCs w:val="22"/>
              </w:rPr>
            </w:pPr>
            <w:r w:rsidRPr="00B968AE">
              <w:rPr>
                <w:szCs w:val="22"/>
              </w:rPr>
              <w:t xml:space="preserve">Philippines </w:t>
            </w:r>
          </w:p>
          <w:p w14:paraId="694390C6" w14:textId="28B9C439" w:rsidR="00CA14FE" w:rsidRPr="00B968AE" w:rsidRDefault="00CA14FE" w:rsidP="007141DF">
            <w:pPr>
              <w:rPr>
                <w:szCs w:val="22"/>
              </w:rPr>
            </w:pPr>
            <w:r w:rsidRPr="00B968AE">
              <w:rPr>
                <w:szCs w:val="22"/>
              </w:rPr>
              <w:t>(</w:t>
            </w:r>
            <w:r w:rsidR="00577235">
              <w:rPr>
                <w:szCs w:val="22"/>
              </w:rPr>
              <w:t>semi-immune,</w:t>
            </w:r>
            <w:r w:rsidR="0086443E">
              <w:rPr>
                <w:szCs w:val="22"/>
              </w:rPr>
              <w:t xml:space="preserve"> 12-65 y</w:t>
            </w:r>
            <w:r w:rsidR="0059791A">
              <w:rPr>
                <w:szCs w:val="22"/>
              </w:rPr>
              <w:t>ea</w:t>
            </w:r>
            <w:r w:rsidR="0086443E">
              <w:rPr>
                <w:szCs w:val="22"/>
              </w:rPr>
              <w:t>r</w:t>
            </w:r>
            <w:r w:rsidRPr="00B968AE">
              <w:rPr>
                <w:szCs w:val="22"/>
              </w:rPr>
              <w:t>s</w:t>
            </w:r>
            <w:r w:rsidR="00341C0D" w:rsidRPr="00B968AE">
              <w:rPr>
                <w:szCs w:val="22"/>
              </w:rPr>
              <w:t xml:space="preserve"> old</w:t>
            </w:r>
            <w:r w:rsidRPr="00B968AE">
              <w:rPr>
                <w:szCs w:val="22"/>
              </w:rPr>
              <w:t>)</w:t>
            </w:r>
          </w:p>
          <w:p w14:paraId="72F48CA0" w14:textId="72C0CB48" w:rsidR="00CA14FE" w:rsidRPr="00B968AE" w:rsidRDefault="00CA14FE" w:rsidP="007141DF">
            <w:pPr>
              <w:rPr>
                <w:szCs w:val="22"/>
              </w:rPr>
            </w:pPr>
          </w:p>
        </w:tc>
        <w:tc>
          <w:tcPr>
            <w:tcW w:w="1986" w:type="dxa"/>
            <w:tcBorders>
              <w:top w:val="single" w:sz="12" w:space="0" w:color="auto"/>
              <w:bottom w:val="single" w:sz="4" w:space="0" w:color="auto"/>
            </w:tcBorders>
          </w:tcPr>
          <w:p w14:paraId="2AC3DC40" w14:textId="07DD32E8" w:rsidR="00CA14FE" w:rsidRPr="00B968AE" w:rsidRDefault="00CA14FE" w:rsidP="00781BF7">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 xml:space="preserve">Randomized, open-label, </w:t>
            </w:r>
            <w:r w:rsidR="005042BD">
              <w:rPr>
                <w:szCs w:val="22"/>
              </w:rPr>
              <w:t xml:space="preserve">active-controlled, </w:t>
            </w:r>
            <w:r w:rsidRPr="00B968AE">
              <w:rPr>
                <w:szCs w:val="22"/>
              </w:rPr>
              <w:t xml:space="preserve">AP vs. chloroquine (CQ) vs. </w:t>
            </w:r>
            <w:proofErr w:type="spellStart"/>
            <w:r w:rsidRPr="00B968AE">
              <w:rPr>
                <w:szCs w:val="22"/>
              </w:rPr>
              <w:t>SP</w:t>
            </w:r>
            <w:r w:rsidR="007B30C3">
              <w:rPr>
                <w:szCs w:val="22"/>
              </w:rPr>
              <w:t>+CQ</w:t>
            </w:r>
            <w:r w:rsidR="00781BF7">
              <w:rPr>
                <w:szCs w:val="22"/>
                <w:vertAlign w:val="superscript"/>
              </w:rPr>
              <w:t>d</w:t>
            </w:r>
            <w:proofErr w:type="spellEnd"/>
          </w:p>
        </w:tc>
        <w:tc>
          <w:tcPr>
            <w:tcW w:w="1170" w:type="dxa"/>
            <w:tcBorders>
              <w:top w:val="single" w:sz="12" w:space="0" w:color="auto"/>
              <w:bottom w:val="single" w:sz="4" w:space="0" w:color="auto"/>
            </w:tcBorders>
          </w:tcPr>
          <w:p w14:paraId="36E53C1F" w14:textId="48190229" w:rsidR="00CA14FE" w:rsidRPr="00F073E2" w:rsidRDefault="00CA14FE" w:rsidP="007141DF">
            <w:pPr>
              <w:cnfStyle w:val="000000000000" w:firstRow="0" w:lastRow="0" w:firstColumn="0" w:lastColumn="0" w:oddVBand="0" w:evenVBand="0" w:oddHBand="0" w:evenHBand="0" w:firstRowFirstColumn="0" w:firstRowLastColumn="0" w:lastRowFirstColumn="0" w:lastRowLastColumn="0"/>
              <w:rPr>
                <w:szCs w:val="22"/>
              </w:rPr>
            </w:pPr>
            <w:r w:rsidRPr="005042BD">
              <w:rPr>
                <w:szCs w:val="22"/>
              </w:rPr>
              <w:t>1</w:t>
            </w:r>
            <w:r w:rsidR="003E42B4" w:rsidRPr="00F073E2">
              <w:rPr>
                <w:szCs w:val="22"/>
              </w:rPr>
              <w:t>09</w:t>
            </w:r>
          </w:p>
        </w:tc>
        <w:tc>
          <w:tcPr>
            <w:tcW w:w="1530" w:type="dxa"/>
            <w:tcBorders>
              <w:top w:val="single" w:sz="12" w:space="0" w:color="auto"/>
              <w:bottom w:val="single" w:sz="4" w:space="0" w:color="auto"/>
            </w:tcBorders>
          </w:tcPr>
          <w:p w14:paraId="48CC233A" w14:textId="77777777" w:rsidR="00CA14FE" w:rsidRDefault="00CA14FE" w:rsidP="00097DB9">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 xml:space="preserve">100% AP vs. 30.4% CQ vs. 87.5% CQ+SP </w:t>
            </w:r>
          </w:p>
          <w:p w14:paraId="65BF3945" w14:textId="32227A0A" w:rsidR="009F57B8" w:rsidRPr="00B968AE" w:rsidRDefault="009F57B8" w:rsidP="00097DB9">
            <w:pPr>
              <w:cnfStyle w:val="000000000000" w:firstRow="0" w:lastRow="0" w:firstColumn="0" w:lastColumn="0" w:oddVBand="0" w:evenVBand="0" w:oddHBand="0" w:evenHBand="0" w:firstRowFirstColumn="0" w:firstRowLastColumn="0" w:lastRowFirstColumn="0" w:lastRowLastColumn="0"/>
              <w:rPr>
                <w:szCs w:val="22"/>
              </w:rPr>
            </w:pPr>
          </w:p>
        </w:tc>
        <w:tc>
          <w:tcPr>
            <w:tcW w:w="1260" w:type="dxa"/>
            <w:tcBorders>
              <w:top w:val="single" w:sz="12" w:space="0" w:color="auto"/>
              <w:bottom w:val="single" w:sz="4" w:space="0" w:color="auto"/>
            </w:tcBorders>
          </w:tcPr>
          <w:p w14:paraId="134045EF" w14:textId="035D55AE" w:rsidR="00CA14FE" w:rsidRPr="00B968AE" w:rsidRDefault="00CA14FE" w:rsidP="006D7C4A">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3</w:t>
            </w:r>
            <w:r w:rsidR="00E503D0">
              <w:rPr>
                <w:szCs w:val="22"/>
              </w:rPr>
              <w:t>8.7 AP  vs. 46.8 CQ vs. 34.</w:t>
            </w:r>
            <w:r w:rsidR="00754F3D">
              <w:rPr>
                <w:szCs w:val="22"/>
              </w:rPr>
              <w:t>7</w:t>
            </w:r>
            <w:r w:rsidR="00E503D0">
              <w:rPr>
                <w:szCs w:val="22"/>
              </w:rPr>
              <w:t xml:space="preserve"> </w:t>
            </w:r>
            <w:r w:rsidRPr="00B968AE">
              <w:rPr>
                <w:szCs w:val="22"/>
              </w:rPr>
              <w:t xml:space="preserve">CQ+SP </w:t>
            </w:r>
          </w:p>
        </w:tc>
        <w:tc>
          <w:tcPr>
            <w:tcW w:w="1260" w:type="dxa"/>
            <w:tcBorders>
              <w:top w:val="single" w:sz="12" w:space="0" w:color="auto"/>
              <w:bottom w:val="single" w:sz="4" w:space="0" w:color="auto"/>
              <w:right w:val="nil"/>
            </w:tcBorders>
          </w:tcPr>
          <w:p w14:paraId="5F27F0F2" w14:textId="10FAF837" w:rsidR="00CA14FE" w:rsidRPr="00B968AE" w:rsidRDefault="00CA14FE" w:rsidP="006D7C4A">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4</w:t>
            </w:r>
            <w:r w:rsidR="00754F3D">
              <w:rPr>
                <w:szCs w:val="22"/>
              </w:rPr>
              <w:t>7.3</w:t>
            </w:r>
            <w:r w:rsidRPr="00B968AE">
              <w:rPr>
                <w:szCs w:val="22"/>
              </w:rPr>
              <w:t xml:space="preserve"> AP vs.  60</w:t>
            </w:r>
            <w:r w:rsidR="00754F3D">
              <w:rPr>
                <w:szCs w:val="22"/>
              </w:rPr>
              <w:t>.1 CQ vs. 42.9</w:t>
            </w:r>
            <w:r w:rsidRPr="00B968AE">
              <w:rPr>
                <w:szCs w:val="22"/>
              </w:rPr>
              <w:t xml:space="preserve"> CQ + SP </w:t>
            </w:r>
          </w:p>
        </w:tc>
      </w:tr>
      <w:tr w:rsidR="00CA14FE" w:rsidRPr="00B968AE" w14:paraId="79D7FFB9" w14:textId="77777777" w:rsidTr="005042BD">
        <w:tc>
          <w:tcPr>
            <w:cnfStyle w:val="001000000000" w:firstRow="0" w:lastRow="0" w:firstColumn="1" w:lastColumn="0" w:oddVBand="0" w:evenVBand="0" w:oddHBand="0" w:evenHBand="0" w:firstRowFirstColumn="0" w:firstRowLastColumn="0" w:lastRowFirstColumn="0" w:lastRowLastColumn="0"/>
            <w:tcW w:w="1992" w:type="dxa"/>
            <w:tcBorders>
              <w:top w:val="single" w:sz="4" w:space="0" w:color="auto"/>
              <w:left w:val="nil"/>
              <w:bottom w:val="single" w:sz="4" w:space="0" w:color="auto"/>
            </w:tcBorders>
          </w:tcPr>
          <w:p w14:paraId="5655332C" w14:textId="77777777" w:rsidR="0086443E" w:rsidRDefault="00CA14FE" w:rsidP="00341C0D">
            <w:pPr>
              <w:rPr>
                <w:szCs w:val="22"/>
              </w:rPr>
            </w:pPr>
            <w:r w:rsidRPr="00B968AE">
              <w:rPr>
                <w:szCs w:val="22"/>
              </w:rPr>
              <w:t xml:space="preserve">Brazil </w:t>
            </w:r>
          </w:p>
          <w:p w14:paraId="2BF7651E" w14:textId="79A97660" w:rsidR="00CA14FE" w:rsidRPr="00B968AE" w:rsidRDefault="00CA14FE" w:rsidP="00341C0D">
            <w:pPr>
              <w:rPr>
                <w:szCs w:val="22"/>
              </w:rPr>
            </w:pPr>
            <w:r w:rsidRPr="00B968AE">
              <w:rPr>
                <w:szCs w:val="22"/>
              </w:rPr>
              <w:t>(</w:t>
            </w:r>
            <w:r w:rsidR="00341C0D" w:rsidRPr="00B968AE">
              <w:rPr>
                <w:szCs w:val="22"/>
              </w:rPr>
              <w:t xml:space="preserve">semi-immune </w:t>
            </w:r>
            <w:r w:rsidR="0086443E">
              <w:rPr>
                <w:szCs w:val="22"/>
              </w:rPr>
              <w:t>men 18-65 y</w:t>
            </w:r>
            <w:r w:rsidR="0059791A">
              <w:rPr>
                <w:szCs w:val="22"/>
              </w:rPr>
              <w:t>ea</w:t>
            </w:r>
            <w:r w:rsidR="00C61FEA" w:rsidRPr="00B968AE">
              <w:rPr>
                <w:szCs w:val="22"/>
              </w:rPr>
              <w:t>rs</w:t>
            </w:r>
            <w:r w:rsidR="0086443E">
              <w:rPr>
                <w:szCs w:val="22"/>
              </w:rPr>
              <w:t xml:space="preserve"> old</w:t>
            </w:r>
            <w:r w:rsidRPr="00B968AE">
              <w:rPr>
                <w:szCs w:val="22"/>
              </w:rPr>
              <w:t>)</w:t>
            </w:r>
          </w:p>
        </w:tc>
        <w:tc>
          <w:tcPr>
            <w:tcW w:w="1986" w:type="dxa"/>
            <w:tcBorders>
              <w:top w:val="single" w:sz="4" w:space="0" w:color="auto"/>
              <w:bottom w:val="single" w:sz="4" w:space="0" w:color="auto"/>
            </w:tcBorders>
          </w:tcPr>
          <w:p w14:paraId="4CEF0877" w14:textId="31CC1047" w:rsidR="00CA14FE" w:rsidRPr="00B968AE" w:rsidRDefault="00CA14FE" w:rsidP="007141DF">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Randomized, open-label, AP vs. quinine + tetracycline (QT)</w:t>
            </w:r>
          </w:p>
        </w:tc>
        <w:tc>
          <w:tcPr>
            <w:tcW w:w="1170" w:type="dxa"/>
            <w:tcBorders>
              <w:top w:val="single" w:sz="4" w:space="0" w:color="auto"/>
              <w:bottom w:val="single" w:sz="4" w:space="0" w:color="auto"/>
            </w:tcBorders>
          </w:tcPr>
          <w:p w14:paraId="09248B89" w14:textId="2D2418D2" w:rsidR="00CA14FE" w:rsidRPr="00B968AE" w:rsidRDefault="005866CC" w:rsidP="007141DF">
            <w:pPr>
              <w:cnfStyle w:val="000000000000" w:firstRow="0" w:lastRow="0" w:firstColumn="0" w:lastColumn="0" w:oddVBand="0" w:evenVBand="0" w:oddHBand="0" w:evenHBand="0" w:firstRowFirstColumn="0" w:firstRowLastColumn="0" w:lastRowFirstColumn="0" w:lastRowLastColumn="0"/>
              <w:rPr>
                <w:szCs w:val="22"/>
              </w:rPr>
            </w:pPr>
            <w:r>
              <w:rPr>
                <w:szCs w:val="22"/>
              </w:rPr>
              <w:t>150</w:t>
            </w:r>
          </w:p>
        </w:tc>
        <w:tc>
          <w:tcPr>
            <w:tcW w:w="1530" w:type="dxa"/>
            <w:tcBorders>
              <w:top w:val="single" w:sz="4" w:space="0" w:color="auto"/>
              <w:bottom w:val="single" w:sz="4" w:space="0" w:color="auto"/>
            </w:tcBorders>
          </w:tcPr>
          <w:p w14:paraId="6C338AFC" w14:textId="67B7FF1B" w:rsidR="00CA14FE" w:rsidRDefault="00CA14FE" w:rsidP="00581FCA">
            <w:pPr>
              <w:cnfStyle w:val="000000000000" w:firstRow="0" w:lastRow="0" w:firstColumn="0" w:lastColumn="0" w:oddVBand="0" w:evenVBand="0" w:oddHBand="0" w:evenHBand="0" w:firstRowFirstColumn="0" w:firstRowLastColumn="0" w:lastRowFirstColumn="0" w:lastRowLastColumn="0"/>
              <w:rPr>
                <w:szCs w:val="22"/>
              </w:rPr>
            </w:pPr>
            <w:r w:rsidRPr="007A3191">
              <w:rPr>
                <w:szCs w:val="22"/>
              </w:rPr>
              <w:t>9</w:t>
            </w:r>
            <w:r w:rsidR="005866CC">
              <w:rPr>
                <w:szCs w:val="22"/>
              </w:rPr>
              <w:t>8.6</w:t>
            </w:r>
            <w:r w:rsidRPr="007A3191">
              <w:rPr>
                <w:szCs w:val="22"/>
              </w:rPr>
              <w:t>%</w:t>
            </w:r>
            <w:r w:rsidRPr="00B968AE">
              <w:rPr>
                <w:szCs w:val="22"/>
              </w:rPr>
              <w:t xml:space="preserve"> </w:t>
            </w:r>
            <w:r w:rsidR="005866CC">
              <w:rPr>
                <w:szCs w:val="22"/>
              </w:rPr>
              <w:t xml:space="preserve">AP vs. 100% </w:t>
            </w:r>
            <w:r w:rsidRPr="00B968AE">
              <w:rPr>
                <w:szCs w:val="22"/>
              </w:rPr>
              <w:t>QT</w:t>
            </w:r>
          </w:p>
          <w:p w14:paraId="007267B8" w14:textId="3B62288A" w:rsidR="00E503D0" w:rsidRPr="00B968AE" w:rsidRDefault="00E503D0" w:rsidP="00581FCA">
            <w:pPr>
              <w:cnfStyle w:val="000000000000" w:firstRow="0" w:lastRow="0" w:firstColumn="0" w:lastColumn="0" w:oddVBand="0" w:evenVBand="0" w:oddHBand="0" w:evenHBand="0" w:firstRowFirstColumn="0" w:firstRowLastColumn="0" w:lastRowFirstColumn="0" w:lastRowLastColumn="0"/>
              <w:rPr>
                <w:szCs w:val="22"/>
              </w:rPr>
            </w:pPr>
            <w:r>
              <w:rPr>
                <w:szCs w:val="22"/>
              </w:rPr>
              <w:t>(-5.3% -2.6%)</w:t>
            </w:r>
          </w:p>
        </w:tc>
        <w:tc>
          <w:tcPr>
            <w:tcW w:w="1260" w:type="dxa"/>
            <w:tcBorders>
              <w:top w:val="single" w:sz="4" w:space="0" w:color="auto"/>
              <w:bottom w:val="single" w:sz="4" w:space="0" w:color="auto"/>
            </w:tcBorders>
          </w:tcPr>
          <w:p w14:paraId="13C2A560" w14:textId="5ADD911D" w:rsidR="00CA14FE" w:rsidRDefault="006F41A9"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22.8 </w:t>
            </w:r>
            <w:r w:rsidR="00CA14FE" w:rsidRPr="00B968AE">
              <w:rPr>
                <w:szCs w:val="22"/>
              </w:rPr>
              <w:t>A</w:t>
            </w:r>
            <w:r>
              <w:rPr>
                <w:szCs w:val="22"/>
              </w:rPr>
              <w:t>P vs. 32.5</w:t>
            </w:r>
            <w:r w:rsidR="00CA14FE" w:rsidRPr="00B968AE">
              <w:rPr>
                <w:szCs w:val="22"/>
              </w:rPr>
              <w:t xml:space="preserve"> QT</w:t>
            </w:r>
          </w:p>
          <w:p w14:paraId="5A09B320" w14:textId="5622A7B1" w:rsidR="00374C8E" w:rsidRPr="00B968AE" w:rsidRDefault="00593572"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w:t>
            </w:r>
            <w:r w:rsidR="008E08EF">
              <w:rPr>
                <w:szCs w:val="22"/>
              </w:rPr>
              <w:t>p</w:t>
            </w:r>
            <w:r w:rsidR="00374C8E">
              <w:rPr>
                <w:szCs w:val="22"/>
              </w:rPr>
              <w:t>&lt;0.021</w:t>
            </w:r>
            <w:r>
              <w:rPr>
                <w:szCs w:val="22"/>
              </w:rPr>
              <w:t>)</w:t>
            </w:r>
          </w:p>
        </w:tc>
        <w:tc>
          <w:tcPr>
            <w:tcW w:w="1260" w:type="dxa"/>
            <w:tcBorders>
              <w:top w:val="single" w:sz="4" w:space="0" w:color="auto"/>
              <w:bottom w:val="single" w:sz="4" w:space="0" w:color="auto"/>
              <w:right w:val="nil"/>
            </w:tcBorders>
          </w:tcPr>
          <w:p w14:paraId="57AF1CB8" w14:textId="77777777" w:rsidR="00CA14FE" w:rsidRDefault="00CA14FE" w:rsidP="006D7C4A">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5</w:t>
            </w:r>
            <w:r w:rsidR="00374C8E">
              <w:rPr>
                <w:szCs w:val="22"/>
              </w:rPr>
              <w:t>5.5</w:t>
            </w:r>
            <w:r w:rsidRPr="00B968AE">
              <w:rPr>
                <w:szCs w:val="22"/>
              </w:rPr>
              <w:t xml:space="preserve">  AP  vs</w:t>
            </w:r>
            <w:r w:rsidR="00660077" w:rsidRPr="00B968AE">
              <w:rPr>
                <w:szCs w:val="22"/>
              </w:rPr>
              <w:t>.</w:t>
            </w:r>
            <w:r w:rsidR="00374C8E">
              <w:rPr>
                <w:szCs w:val="22"/>
              </w:rPr>
              <w:t xml:space="preserve"> 63</w:t>
            </w:r>
            <w:r w:rsidR="005866CC">
              <w:rPr>
                <w:szCs w:val="22"/>
              </w:rPr>
              <w:t>.6</w:t>
            </w:r>
            <w:r w:rsidRPr="00B968AE">
              <w:rPr>
                <w:szCs w:val="22"/>
              </w:rPr>
              <w:t xml:space="preserve"> QT</w:t>
            </w:r>
          </w:p>
          <w:p w14:paraId="0BEE535A" w14:textId="30C9EAD3" w:rsidR="00374C8E" w:rsidRPr="00B968AE" w:rsidRDefault="00593572"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(p</w:t>
            </w:r>
            <w:r w:rsidR="00374C8E">
              <w:rPr>
                <w:szCs w:val="22"/>
              </w:rPr>
              <w:t>=0.011</w:t>
            </w:r>
            <w:r>
              <w:rPr>
                <w:szCs w:val="22"/>
              </w:rPr>
              <w:t>)</w:t>
            </w:r>
          </w:p>
        </w:tc>
      </w:tr>
      <w:tr w:rsidR="00CA14FE" w:rsidRPr="00B968AE" w14:paraId="23A8EED3" w14:textId="77777777" w:rsidTr="005042BD">
        <w:tc>
          <w:tcPr>
            <w:cnfStyle w:val="001000000000" w:firstRow="0" w:lastRow="0" w:firstColumn="1" w:lastColumn="0" w:oddVBand="0" w:evenVBand="0" w:oddHBand="0" w:evenHBand="0" w:firstRowFirstColumn="0" w:firstRowLastColumn="0" w:lastRowFirstColumn="0" w:lastRowLastColumn="0"/>
            <w:tcW w:w="1992" w:type="dxa"/>
            <w:tcBorders>
              <w:top w:val="single" w:sz="4" w:space="0" w:color="auto"/>
              <w:left w:val="nil"/>
              <w:bottom w:val="single" w:sz="4" w:space="0" w:color="auto"/>
            </w:tcBorders>
          </w:tcPr>
          <w:p w14:paraId="11E498F0" w14:textId="77777777" w:rsidR="0086443E" w:rsidRDefault="00CA14FE" w:rsidP="007141DF">
            <w:pPr>
              <w:rPr>
                <w:szCs w:val="22"/>
              </w:rPr>
            </w:pPr>
            <w:r w:rsidRPr="00B968AE">
              <w:rPr>
                <w:szCs w:val="22"/>
              </w:rPr>
              <w:t xml:space="preserve">Thailand </w:t>
            </w:r>
          </w:p>
          <w:p w14:paraId="6E7A5391" w14:textId="752F3F80" w:rsidR="00CA14FE" w:rsidRPr="00B968AE" w:rsidRDefault="0086443E" w:rsidP="00FB7EC6">
            <w:pPr>
              <w:rPr>
                <w:szCs w:val="22"/>
              </w:rPr>
            </w:pPr>
            <w:r>
              <w:rPr>
                <w:szCs w:val="22"/>
              </w:rPr>
              <w:t>(adults 16-65 y</w:t>
            </w:r>
            <w:r w:rsidR="0059791A">
              <w:rPr>
                <w:szCs w:val="22"/>
              </w:rPr>
              <w:t>ea</w:t>
            </w:r>
            <w:r>
              <w:rPr>
                <w:szCs w:val="22"/>
              </w:rPr>
              <w:t>r</w:t>
            </w:r>
            <w:r w:rsidR="00CA14FE" w:rsidRPr="00B968AE">
              <w:rPr>
                <w:szCs w:val="22"/>
              </w:rPr>
              <w:t>s</w:t>
            </w:r>
            <w:r w:rsidR="00341C0D" w:rsidRPr="00B968AE">
              <w:rPr>
                <w:szCs w:val="22"/>
              </w:rPr>
              <w:t xml:space="preserve"> old</w:t>
            </w:r>
            <w:r w:rsidR="00CA14FE" w:rsidRPr="00B968AE">
              <w:rPr>
                <w:szCs w:val="22"/>
              </w:rPr>
              <w:t>)</w:t>
            </w:r>
          </w:p>
        </w:tc>
        <w:tc>
          <w:tcPr>
            <w:tcW w:w="1986" w:type="dxa"/>
            <w:tcBorders>
              <w:top w:val="single" w:sz="4" w:space="0" w:color="auto"/>
              <w:bottom w:val="single" w:sz="4" w:space="0" w:color="auto"/>
            </w:tcBorders>
          </w:tcPr>
          <w:p w14:paraId="65E4C926" w14:textId="18C29E28" w:rsidR="00CA14FE" w:rsidRPr="00B968AE" w:rsidRDefault="00CA14FE" w:rsidP="007141DF">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Randomized, open-label,</w:t>
            </w:r>
            <w:r w:rsidR="005042BD">
              <w:rPr>
                <w:szCs w:val="22"/>
              </w:rPr>
              <w:t xml:space="preserve"> active -controlled , </w:t>
            </w:r>
            <w:r w:rsidRPr="00B968AE">
              <w:rPr>
                <w:szCs w:val="22"/>
              </w:rPr>
              <w:t>AP vs. mefloquine</w:t>
            </w:r>
          </w:p>
        </w:tc>
        <w:tc>
          <w:tcPr>
            <w:tcW w:w="1170" w:type="dxa"/>
            <w:tcBorders>
              <w:top w:val="single" w:sz="4" w:space="0" w:color="auto"/>
              <w:bottom w:val="single" w:sz="4" w:space="0" w:color="auto"/>
            </w:tcBorders>
          </w:tcPr>
          <w:p w14:paraId="1505B12A" w14:textId="3FFD05A9" w:rsidR="00CA14FE" w:rsidRPr="00B968AE" w:rsidRDefault="00CA14FE" w:rsidP="007141DF">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158</w:t>
            </w:r>
          </w:p>
        </w:tc>
        <w:tc>
          <w:tcPr>
            <w:tcW w:w="1530" w:type="dxa"/>
            <w:tcBorders>
              <w:top w:val="single" w:sz="4" w:space="0" w:color="auto"/>
              <w:bottom w:val="single" w:sz="4" w:space="0" w:color="auto"/>
            </w:tcBorders>
          </w:tcPr>
          <w:p w14:paraId="71DD9524" w14:textId="77777777" w:rsidR="00E503D0" w:rsidRDefault="005866CC" w:rsidP="00581FCA">
            <w:pPr>
              <w:cnfStyle w:val="000000000000" w:firstRow="0" w:lastRow="0" w:firstColumn="0" w:lastColumn="0" w:oddVBand="0" w:evenVBand="0" w:oddHBand="0" w:evenHBand="0" w:firstRowFirstColumn="0" w:firstRowLastColumn="0" w:lastRowFirstColumn="0" w:lastRowLastColumn="0"/>
              <w:rPr>
                <w:szCs w:val="22"/>
              </w:rPr>
            </w:pPr>
            <w:r>
              <w:rPr>
                <w:szCs w:val="22"/>
              </w:rPr>
              <w:t>100% AP  vs. 86</w:t>
            </w:r>
            <w:r w:rsidR="00E40D6B">
              <w:rPr>
                <w:szCs w:val="22"/>
              </w:rPr>
              <w:t>.1</w:t>
            </w:r>
            <w:r>
              <w:rPr>
                <w:szCs w:val="22"/>
              </w:rPr>
              <w:t>%  mefloquine</w:t>
            </w:r>
            <w:r w:rsidR="00CA14FE" w:rsidRPr="00B968AE">
              <w:rPr>
                <w:szCs w:val="22"/>
              </w:rPr>
              <w:t xml:space="preserve"> </w:t>
            </w:r>
          </w:p>
          <w:p w14:paraId="18E30C29" w14:textId="144F9E6D" w:rsidR="00CA14FE" w:rsidRPr="00B968AE" w:rsidRDefault="00E503D0" w:rsidP="00581FCA">
            <w:pPr>
              <w:cnfStyle w:val="000000000000" w:firstRow="0" w:lastRow="0" w:firstColumn="0" w:lastColumn="0" w:oddVBand="0" w:evenVBand="0" w:oddHBand="0" w:evenHBand="0" w:firstRowFirstColumn="0" w:firstRowLastColumn="0" w:lastRowFirstColumn="0" w:lastRowLastColumn="0"/>
              <w:rPr>
                <w:szCs w:val="22"/>
              </w:rPr>
            </w:pPr>
            <w:r>
              <w:rPr>
                <w:szCs w:val="22"/>
              </w:rPr>
              <w:t>(5% - 22.8%)</w:t>
            </w:r>
            <w:r w:rsidR="00CA14FE" w:rsidRPr="00B968AE">
              <w:rPr>
                <w:szCs w:val="22"/>
              </w:rPr>
              <w:t xml:space="preserve"> </w:t>
            </w:r>
          </w:p>
        </w:tc>
        <w:tc>
          <w:tcPr>
            <w:tcW w:w="1260" w:type="dxa"/>
            <w:tcBorders>
              <w:top w:val="single" w:sz="4" w:space="0" w:color="auto"/>
              <w:bottom w:val="single" w:sz="4" w:space="0" w:color="auto"/>
            </w:tcBorders>
          </w:tcPr>
          <w:p w14:paraId="44636DD1" w14:textId="77777777" w:rsidR="00CA14FE" w:rsidRDefault="00CA14FE" w:rsidP="006D7C4A">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5</w:t>
            </w:r>
            <w:r w:rsidR="005866CC">
              <w:rPr>
                <w:szCs w:val="22"/>
              </w:rPr>
              <w:t>8.6 vs. 52.6</w:t>
            </w:r>
            <w:r w:rsidRPr="00B968AE">
              <w:rPr>
                <w:szCs w:val="22"/>
              </w:rPr>
              <w:t xml:space="preserve"> </w:t>
            </w:r>
          </w:p>
          <w:p w14:paraId="166A637D" w14:textId="274018F3" w:rsidR="00374C8E" w:rsidRPr="00B968AE" w:rsidRDefault="00593572"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w:t>
            </w:r>
            <w:r w:rsidR="008E08EF">
              <w:rPr>
                <w:szCs w:val="22"/>
              </w:rPr>
              <w:t>p</w:t>
            </w:r>
            <w:r w:rsidR="00374C8E">
              <w:rPr>
                <w:szCs w:val="22"/>
              </w:rPr>
              <w:t>=</w:t>
            </w:r>
            <w:r w:rsidR="00E503D0">
              <w:rPr>
                <w:szCs w:val="22"/>
              </w:rPr>
              <w:t>0.270</w:t>
            </w:r>
            <w:r>
              <w:rPr>
                <w:szCs w:val="22"/>
              </w:rPr>
              <w:t>)</w:t>
            </w:r>
          </w:p>
        </w:tc>
        <w:tc>
          <w:tcPr>
            <w:tcW w:w="1260" w:type="dxa"/>
            <w:tcBorders>
              <w:top w:val="single" w:sz="4" w:space="0" w:color="auto"/>
              <w:bottom w:val="single" w:sz="4" w:space="0" w:color="auto"/>
              <w:right w:val="nil"/>
            </w:tcBorders>
          </w:tcPr>
          <w:p w14:paraId="5C2BAB4B" w14:textId="77777777" w:rsidR="00CA14FE" w:rsidRDefault="005866CC"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65.1</w:t>
            </w:r>
            <w:r w:rsidR="00BA6527">
              <w:rPr>
                <w:szCs w:val="22"/>
              </w:rPr>
              <w:t xml:space="preserve"> </w:t>
            </w:r>
            <w:r>
              <w:rPr>
                <w:szCs w:val="22"/>
              </w:rPr>
              <w:t>vs 73.5</w:t>
            </w:r>
            <w:r w:rsidR="00CA14FE" w:rsidRPr="00B968AE">
              <w:rPr>
                <w:szCs w:val="22"/>
              </w:rPr>
              <w:t xml:space="preserve"> </w:t>
            </w:r>
          </w:p>
          <w:p w14:paraId="184D5FEE" w14:textId="772C5B73" w:rsidR="00374C8E" w:rsidRPr="00B968AE" w:rsidRDefault="00593572"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w:t>
            </w:r>
            <w:r w:rsidR="008E08EF">
              <w:rPr>
                <w:szCs w:val="22"/>
              </w:rPr>
              <w:t>p</w:t>
            </w:r>
            <w:r w:rsidR="00374C8E">
              <w:rPr>
                <w:szCs w:val="22"/>
              </w:rPr>
              <w:t>=0.025</w:t>
            </w:r>
            <w:r>
              <w:rPr>
                <w:szCs w:val="22"/>
              </w:rPr>
              <w:t>)</w:t>
            </w:r>
          </w:p>
        </w:tc>
      </w:tr>
      <w:tr w:rsidR="00CA14FE" w:rsidRPr="00B968AE" w14:paraId="7A2F9391" w14:textId="77777777" w:rsidTr="005042BD">
        <w:trPr>
          <w:trHeight w:val="1367"/>
        </w:trPr>
        <w:tc>
          <w:tcPr>
            <w:cnfStyle w:val="001000000000" w:firstRow="0" w:lastRow="0" w:firstColumn="1" w:lastColumn="0" w:oddVBand="0" w:evenVBand="0" w:oddHBand="0" w:evenHBand="0" w:firstRowFirstColumn="0" w:firstRowLastColumn="0" w:lastRowFirstColumn="0" w:lastRowLastColumn="0"/>
            <w:tcW w:w="1992" w:type="dxa"/>
            <w:tcBorders>
              <w:top w:val="single" w:sz="4" w:space="0" w:color="auto"/>
              <w:left w:val="nil"/>
              <w:bottom w:val="single" w:sz="4" w:space="0" w:color="auto"/>
            </w:tcBorders>
          </w:tcPr>
          <w:p w14:paraId="0EDF8179" w14:textId="77777777" w:rsidR="0086443E" w:rsidRDefault="00341C0D" w:rsidP="007141DF">
            <w:pPr>
              <w:rPr>
                <w:szCs w:val="22"/>
              </w:rPr>
            </w:pPr>
            <w:r w:rsidRPr="00B968AE">
              <w:rPr>
                <w:szCs w:val="22"/>
              </w:rPr>
              <w:t xml:space="preserve">Zambia </w:t>
            </w:r>
          </w:p>
          <w:p w14:paraId="22DEE68D" w14:textId="2F76C611" w:rsidR="00CA14FE" w:rsidRPr="00B968AE" w:rsidRDefault="00341C0D" w:rsidP="007141DF">
            <w:pPr>
              <w:rPr>
                <w:szCs w:val="22"/>
              </w:rPr>
            </w:pPr>
            <w:r w:rsidRPr="00B968AE">
              <w:rPr>
                <w:szCs w:val="22"/>
              </w:rPr>
              <w:t>(semi-immune, 14-54 years old)</w:t>
            </w:r>
          </w:p>
        </w:tc>
        <w:tc>
          <w:tcPr>
            <w:tcW w:w="1986" w:type="dxa"/>
            <w:tcBorders>
              <w:top w:val="single" w:sz="4" w:space="0" w:color="auto"/>
              <w:bottom w:val="single" w:sz="4" w:space="0" w:color="auto"/>
            </w:tcBorders>
          </w:tcPr>
          <w:p w14:paraId="5C3F7727" w14:textId="00A4DB0A" w:rsidR="00CA14FE" w:rsidRPr="00B968AE" w:rsidRDefault="00CA14FE" w:rsidP="00581FCA">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R</w:t>
            </w:r>
            <w:r w:rsidR="002E3340">
              <w:rPr>
                <w:szCs w:val="22"/>
              </w:rPr>
              <w:t xml:space="preserve">andomized, open-label, </w:t>
            </w:r>
            <w:r w:rsidR="005042BD">
              <w:rPr>
                <w:szCs w:val="22"/>
              </w:rPr>
              <w:t xml:space="preserve">active-controlled, </w:t>
            </w:r>
            <w:r w:rsidR="002E3340">
              <w:rPr>
                <w:szCs w:val="22"/>
              </w:rPr>
              <w:t xml:space="preserve">AP vs. </w:t>
            </w:r>
            <w:proofErr w:type="spellStart"/>
            <w:r w:rsidR="00341C0D" w:rsidRPr="00B968AE">
              <w:rPr>
                <w:szCs w:val="22"/>
              </w:rPr>
              <w:t>s</w:t>
            </w:r>
            <w:r w:rsidRPr="00B968AE">
              <w:rPr>
                <w:szCs w:val="22"/>
              </w:rPr>
              <w:t>ulfadoxine</w:t>
            </w:r>
            <w:proofErr w:type="spellEnd"/>
            <w:r w:rsidRPr="00B968AE">
              <w:rPr>
                <w:szCs w:val="22"/>
              </w:rPr>
              <w:t xml:space="preserve"> / </w:t>
            </w:r>
            <w:proofErr w:type="spellStart"/>
            <w:r w:rsidRPr="00B968AE">
              <w:rPr>
                <w:szCs w:val="22"/>
              </w:rPr>
              <w:t>pyrimethamine</w:t>
            </w:r>
            <w:proofErr w:type="spellEnd"/>
            <w:r w:rsidRPr="00B968AE">
              <w:rPr>
                <w:szCs w:val="22"/>
              </w:rPr>
              <w:t xml:space="preserve"> (SP)</w:t>
            </w:r>
          </w:p>
        </w:tc>
        <w:tc>
          <w:tcPr>
            <w:tcW w:w="1170" w:type="dxa"/>
            <w:tcBorders>
              <w:top w:val="single" w:sz="4" w:space="0" w:color="auto"/>
              <w:bottom w:val="single" w:sz="4" w:space="0" w:color="auto"/>
            </w:tcBorders>
          </w:tcPr>
          <w:p w14:paraId="09CAFB66" w14:textId="1ECBCC0F" w:rsidR="00CA14FE" w:rsidRPr="005E255F" w:rsidRDefault="00CA14FE" w:rsidP="007141DF">
            <w:pPr>
              <w:cnfStyle w:val="000000000000" w:firstRow="0" w:lastRow="0" w:firstColumn="0" w:lastColumn="0" w:oddVBand="0" w:evenVBand="0" w:oddHBand="0" w:evenHBand="0" w:firstRowFirstColumn="0" w:firstRowLastColumn="0" w:lastRowFirstColumn="0" w:lastRowLastColumn="0"/>
              <w:rPr>
                <w:szCs w:val="22"/>
              </w:rPr>
            </w:pPr>
            <w:r w:rsidRPr="005E255F">
              <w:rPr>
                <w:szCs w:val="22"/>
              </w:rPr>
              <w:t>1</w:t>
            </w:r>
            <w:r w:rsidR="00E40D6B" w:rsidRPr="005E255F">
              <w:rPr>
                <w:szCs w:val="22"/>
              </w:rPr>
              <w:t>60</w:t>
            </w:r>
          </w:p>
        </w:tc>
        <w:tc>
          <w:tcPr>
            <w:tcW w:w="1530" w:type="dxa"/>
            <w:tcBorders>
              <w:top w:val="single" w:sz="4" w:space="0" w:color="auto"/>
              <w:bottom w:val="single" w:sz="4" w:space="0" w:color="auto"/>
            </w:tcBorders>
          </w:tcPr>
          <w:p w14:paraId="1EC8AC0A" w14:textId="77777777" w:rsidR="00E503D0" w:rsidRDefault="00CA14FE" w:rsidP="002B1E76">
            <w:pPr>
              <w:cnfStyle w:val="000000000000" w:firstRow="0" w:lastRow="0" w:firstColumn="0" w:lastColumn="0" w:oddVBand="0" w:evenVBand="0" w:oddHBand="0" w:evenHBand="0" w:firstRowFirstColumn="0" w:firstRowLastColumn="0" w:lastRowFirstColumn="0" w:lastRowLastColumn="0"/>
              <w:rPr>
                <w:szCs w:val="22"/>
              </w:rPr>
            </w:pPr>
            <w:r w:rsidRPr="00CE2BB4">
              <w:rPr>
                <w:szCs w:val="22"/>
              </w:rPr>
              <w:t xml:space="preserve">100% AP vs. 98.8% SP </w:t>
            </w:r>
          </w:p>
          <w:p w14:paraId="5AC51673" w14:textId="2C7AB951" w:rsidR="00CA14FE" w:rsidRPr="00CE2BB4" w:rsidRDefault="009F57B8" w:rsidP="002B1E76">
            <w:pPr>
              <w:cnfStyle w:val="000000000000" w:firstRow="0" w:lastRow="0" w:firstColumn="0" w:lastColumn="0" w:oddVBand="0" w:evenVBand="0" w:oddHBand="0" w:evenHBand="0" w:firstRowFirstColumn="0" w:firstRowLastColumn="0" w:lastRowFirstColumn="0" w:lastRowLastColumn="0"/>
              <w:rPr>
                <w:szCs w:val="22"/>
              </w:rPr>
            </w:pPr>
            <w:r>
              <w:rPr>
                <w:szCs w:val="22"/>
              </w:rPr>
              <w:t>(-2.4%</w:t>
            </w:r>
            <w:r w:rsidR="00E503D0">
              <w:rPr>
                <w:szCs w:val="22"/>
              </w:rPr>
              <w:t xml:space="preserve"> </w:t>
            </w:r>
            <w:r>
              <w:rPr>
                <w:szCs w:val="22"/>
              </w:rPr>
              <w:t>-</w:t>
            </w:r>
            <w:r w:rsidR="00E503D0">
              <w:rPr>
                <w:szCs w:val="22"/>
              </w:rPr>
              <w:t xml:space="preserve"> </w:t>
            </w:r>
            <w:r>
              <w:rPr>
                <w:szCs w:val="22"/>
              </w:rPr>
              <w:t>4.9%)</w:t>
            </w:r>
          </w:p>
        </w:tc>
        <w:tc>
          <w:tcPr>
            <w:tcW w:w="1260" w:type="dxa"/>
            <w:tcBorders>
              <w:top w:val="single" w:sz="4" w:space="0" w:color="auto"/>
              <w:bottom w:val="single" w:sz="4" w:space="0" w:color="auto"/>
            </w:tcBorders>
          </w:tcPr>
          <w:p w14:paraId="2DDEAC5A" w14:textId="77777777" w:rsidR="00CA14FE" w:rsidRDefault="00CA14FE" w:rsidP="006D7C4A">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3</w:t>
            </w:r>
            <w:r w:rsidR="00374C8E">
              <w:rPr>
                <w:szCs w:val="22"/>
              </w:rPr>
              <w:t>0.6</w:t>
            </w:r>
            <w:r w:rsidRPr="00B968AE">
              <w:rPr>
                <w:szCs w:val="22"/>
              </w:rPr>
              <w:t xml:space="preserve"> AP vs</w:t>
            </w:r>
            <w:r w:rsidR="00CA2432" w:rsidRPr="00B968AE">
              <w:rPr>
                <w:szCs w:val="22"/>
              </w:rPr>
              <w:t>.</w:t>
            </w:r>
            <w:r w:rsidR="00374C8E">
              <w:rPr>
                <w:szCs w:val="22"/>
              </w:rPr>
              <w:t xml:space="preserve"> 45.5</w:t>
            </w:r>
            <w:r w:rsidRPr="00B968AE">
              <w:rPr>
                <w:szCs w:val="22"/>
              </w:rPr>
              <w:t xml:space="preserve"> SP </w:t>
            </w:r>
          </w:p>
          <w:p w14:paraId="4B1B1E91" w14:textId="0464CDF3" w:rsidR="00374C8E" w:rsidRPr="00B968AE" w:rsidRDefault="00593572"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w:t>
            </w:r>
            <w:r w:rsidR="008E08EF">
              <w:rPr>
                <w:szCs w:val="22"/>
              </w:rPr>
              <w:t>p</w:t>
            </w:r>
            <w:r w:rsidR="00374C8E">
              <w:rPr>
                <w:szCs w:val="22"/>
              </w:rPr>
              <w:t>&lt;0.001</w:t>
            </w:r>
            <w:r>
              <w:rPr>
                <w:szCs w:val="22"/>
              </w:rPr>
              <w:t>)</w:t>
            </w:r>
          </w:p>
        </w:tc>
        <w:tc>
          <w:tcPr>
            <w:tcW w:w="1260" w:type="dxa"/>
            <w:tcBorders>
              <w:top w:val="single" w:sz="4" w:space="0" w:color="auto"/>
              <w:bottom w:val="single" w:sz="4" w:space="0" w:color="auto"/>
              <w:right w:val="nil"/>
            </w:tcBorders>
          </w:tcPr>
          <w:p w14:paraId="2C9D2CF0" w14:textId="77777777" w:rsidR="00CA14FE" w:rsidRDefault="00E40D6B"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63.8</w:t>
            </w:r>
            <w:r w:rsidR="00BA6527">
              <w:rPr>
                <w:szCs w:val="22"/>
              </w:rPr>
              <w:t xml:space="preserve"> </w:t>
            </w:r>
            <w:r>
              <w:rPr>
                <w:szCs w:val="22"/>
              </w:rPr>
              <w:t>vs. 51.5</w:t>
            </w:r>
            <w:r w:rsidR="00CA14FE" w:rsidRPr="00B968AE">
              <w:rPr>
                <w:szCs w:val="22"/>
              </w:rPr>
              <w:t xml:space="preserve"> </w:t>
            </w:r>
          </w:p>
          <w:p w14:paraId="4136490C" w14:textId="182377E8" w:rsidR="00374C8E" w:rsidRPr="00B968AE" w:rsidRDefault="00593572"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w:t>
            </w:r>
            <w:r w:rsidR="008E08EF">
              <w:rPr>
                <w:szCs w:val="22"/>
              </w:rPr>
              <w:t>p</w:t>
            </w:r>
            <w:r w:rsidR="00374C8E">
              <w:rPr>
                <w:szCs w:val="22"/>
              </w:rPr>
              <w:t>&lt; 0.001</w:t>
            </w:r>
            <w:r>
              <w:rPr>
                <w:szCs w:val="22"/>
              </w:rPr>
              <w:t>)</w:t>
            </w:r>
          </w:p>
        </w:tc>
      </w:tr>
      <w:tr w:rsidR="00CA14FE" w:rsidRPr="00B968AE" w14:paraId="40FD714D" w14:textId="77777777" w:rsidTr="005042BD">
        <w:tc>
          <w:tcPr>
            <w:cnfStyle w:val="001000000000" w:firstRow="0" w:lastRow="0" w:firstColumn="1" w:lastColumn="0" w:oddVBand="0" w:evenVBand="0" w:oddHBand="0" w:evenHBand="0" w:firstRowFirstColumn="0" w:firstRowLastColumn="0" w:lastRowFirstColumn="0" w:lastRowLastColumn="0"/>
            <w:tcW w:w="1992" w:type="dxa"/>
            <w:tcBorders>
              <w:top w:val="single" w:sz="4" w:space="0" w:color="auto"/>
              <w:left w:val="nil"/>
              <w:bottom w:val="single" w:sz="4" w:space="0" w:color="auto"/>
            </w:tcBorders>
          </w:tcPr>
          <w:p w14:paraId="7A993C1C" w14:textId="77777777" w:rsidR="0086443E" w:rsidRDefault="00CA14FE" w:rsidP="007141DF">
            <w:pPr>
              <w:rPr>
                <w:szCs w:val="22"/>
              </w:rPr>
            </w:pPr>
            <w:r w:rsidRPr="00B968AE">
              <w:rPr>
                <w:szCs w:val="22"/>
              </w:rPr>
              <w:t xml:space="preserve">Gabon </w:t>
            </w:r>
          </w:p>
          <w:p w14:paraId="0E3D222E" w14:textId="48D0833A" w:rsidR="00CA14FE" w:rsidRPr="00B968AE" w:rsidRDefault="00CA14FE" w:rsidP="00FB7EC6">
            <w:pPr>
              <w:rPr>
                <w:szCs w:val="22"/>
              </w:rPr>
            </w:pPr>
            <w:r w:rsidRPr="00B968AE">
              <w:rPr>
                <w:szCs w:val="22"/>
              </w:rPr>
              <w:t>(</w:t>
            </w:r>
            <w:r w:rsidR="00341C0D" w:rsidRPr="00B968AE">
              <w:rPr>
                <w:szCs w:val="22"/>
              </w:rPr>
              <w:t xml:space="preserve">semi-immune </w:t>
            </w:r>
            <w:r w:rsidR="00577235">
              <w:rPr>
                <w:szCs w:val="22"/>
              </w:rPr>
              <w:t>,</w:t>
            </w:r>
            <w:r w:rsidRPr="00B968AE">
              <w:rPr>
                <w:szCs w:val="22"/>
              </w:rPr>
              <w:t xml:space="preserve"> 15-65 years</w:t>
            </w:r>
            <w:r w:rsidR="0086443E">
              <w:rPr>
                <w:szCs w:val="22"/>
              </w:rPr>
              <w:t xml:space="preserve"> old</w:t>
            </w:r>
            <w:r w:rsidRPr="00B968AE">
              <w:rPr>
                <w:szCs w:val="22"/>
              </w:rPr>
              <w:t>)</w:t>
            </w:r>
          </w:p>
        </w:tc>
        <w:tc>
          <w:tcPr>
            <w:tcW w:w="1986" w:type="dxa"/>
            <w:tcBorders>
              <w:top w:val="single" w:sz="4" w:space="0" w:color="auto"/>
              <w:bottom w:val="single" w:sz="4" w:space="0" w:color="auto"/>
            </w:tcBorders>
          </w:tcPr>
          <w:p w14:paraId="0F428EFA" w14:textId="77777777" w:rsidR="00A81D7C" w:rsidRDefault="00CA14FE" w:rsidP="007141DF">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Randomized, open-label,</w:t>
            </w:r>
            <w:r w:rsidR="005042BD">
              <w:rPr>
                <w:szCs w:val="22"/>
              </w:rPr>
              <w:t xml:space="preserve"> active-controlled, </w:t>
            </w:r>
            <w:r w:rsidRPr="00B968AE">
              <w:rPr>
                <w:szCs w:val="22"/>
              </w:rPr>
              <w:t xml:space="preserve">AP vs.  </w:t>
            </w:r>
            <w:proofErr w:type="spellStart"/>
            <w:r w:rsidRPr="00B968AE">
              <w:rPr>
                <w:szCs w:val="22"/>
              </w:rPr>
              <w:t>amodiaquine</w:t>
            </w:r>
            <w:proofErr w:type="spellEnd"/>
            <w:r w:rsidRPr="00B968AE">
              <w:rPr>
                <w:szCs w:val="22"/>
              </w:rPr>
              <w:t xml:space="preserve">   </w:t>
            </w:r>
          </w:p>
          <w:p w14:paraId="5A5505F7" w14:textId="00B2FD9E" w:rsidR="00CA14FE" w:rsidRPr="00B968AE" w:rsidRDefault="00CA14FE" w:rsidP="007141DF">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(AQ)</w:t>
            </w:r>
            <w:r w:rsidR="00F444C9" w:rsidRPr="00F444C9">
              <w:rPr>
                <w:szCs w:val="22"/>
                <w:vertAlign w:val="superscript"/>
              </w:rPr>
              <w:t xml:space="preserve"> </w:t>
            </w:r>
          </w:p>
        </w:tc>
        <w:tc>
          <w:tcPr>
            <w:tcW w:w="1170" w:type="dxa"/>
            <w:tcBorders>
              <w:top w:val="single" w:sz="4" w:space="0" w:color="auto"/>
              <w:bottom w:val="single" w:sz="4" w:space="0" w:color="auto"/>
            </w:tcBorders>
          </w:tcPr>
          <w:p w14:paraId="0AD2CAF9" w14:textId="7D911A7F" w:rsidR="00CA14FE" w:rsidRPr="005E255F" w:rsidRDefault="00586450" w:rsidP="007141DF">
            <w:pPr>
              <w:cnfStyle w:val="000000000000" w:firstRow="0" w:lastRow="0" w:firstColumn="0" w:lastColumn="0" w:oddVBand="0" w:evenVBand="0" w:oddHBand="0" w:evenHBand="0" w:firstRowFirstColumn="0" w:firstRowLastColumn="0" w:lastRowFirstColumn="0" w:lastRowLastColumn="0"/>
              <w:rPr>
                <w:szCs w:val="22"/>
              </w:rPr>
            </w:pPr>
            <w:r w:rsidRPr="005E255F">
              <w:rPr>
                <w:szCs w:val="22"/>
              </w:rPr>
              <w:t>126</w:t>
            </w:r>
          </w:p>
        </w:tc>
        <w:tc>
          <w:tcPr>
            <w:tcW w:w="1530" w:type="dxa"/>
            <w:tcBorders>
              <w:top w:val="single" w:sz="4" w:space="0" w:color="auto"/>
              <w:bottom w:val="single" w:sz="4" w:space="0" w:color="auto"/>
            </w:tcBorders>
          </w:tcPr>
          <w:p w14:paraId="6F014D8A" w14:textId="77777777" w:rsidR="00CA14FE" w:rsidRDefault="00CA14FE" w:rsidP="00E503D0">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 xml:space="preserve">98.4% AP vs. 81% AQ </w:t>
            </w:r>
          </w:p>
          <w:p w14:paraId="1F3D22C4" w14:textId="6F4D54F9" w:rsidR="00946588" w:rsidRPr="00B968AE" w:rsidRDefault="00946588" w:rsidP="00E503D0">
            <w:pPr>
              <w:cnfStyle w:val="000000000000" w:firstRow="0" w:lastRow="0" w:firstColumn="0" w:lastColumn="0" w:oddVBand="0" w:evenVBand="0" w:oddHBand="0" w:evenHBand="0" w:firstRowFirstColumn="0" w:firstRowLastColumn="0" w:lastRowFirstColumn="0" w:lastRowLastColumn="0"/>
              <w:rPr>
                <w:szCs w:val="22"/>
              </w:rPr>
            </w:pPr>
            <w:r>
              <w:rPr>
                <w:szCs w:val="22"/>
              </w:rPr>
              <w:t>(5.7% - 29.2%)</w:t>
            </w:r>
          </w:p>
        </w:tc>
        <w:tc>
          <w:tcPr>
            <w:tcW w:w="1260" w:type="dxa"/>
            <w:tcBorders>
              <w:top w:val="single" w:sz="4" w:space="0" w:color="auto"/>
              <w:bottom w:val="single" w:sz="4" w:space="0" w:color="auto"/>
            </w:tcBorders>
          </w:tcPr>
          <w:p w14:paraId="3AE3EDB0" w14:textId="77777777" w:rsidR="00CA14FE" w:rsidRDefault="00CA14FE" w:rsidP="006D7C4A">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2</w:t>
            </w:r>
            <w:r w:rsidR="00754F3D">
              <w:rPr>
                <w:szCs w:val="22"/>
              </w:rPr>
              <w:t>7.2</w:t>
            </w:r>
            <w:r w:rsidRPr="00B968AE">
              <w:rPr>
                <w:szCs w:val="22"/>
              </w:rPr>
              <w:t xml:space="preserve"> AP vs</w:t>
            </w:r>
            <w:r w:rsidR="00CA2432" w:rsidRPr="00B968AE">
              <w:rPr>
                <w:szCs w:val="22"/>
              </w:rPr>
              <w:t>.</w:t>
            </w:r>
            <w:r w:rsidR="00754F3D">
              <w:rPr>
                <w:szCs w:val="22"/>
              </w:rPr>
              <w:t xml:space="preserve"> 19.6</w:t>
            </w:r>
            <w:r w:rsidRPr="00B968AE">
              <w:rPr>
                <w:szCs w:val="22"/>
              </w:rPr>
              <w:t xml:space="preserve"> AQ </w:t>
            </w:r>
          </w:p>
          <w:p w14:paraId="53C157B2" w14:textId="23B1A131" w:rsidR="00754F3D" w:rsidRPr="00B968AE" w:rsidRDefault="00593572"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w:t>
            </w:r>
            <w:r w:rsidR="008E08EF">
              <w:rPr>
                <w:szCs w:val="22"/>
              </w:rPr>
              <w:t>p</w:t>
            </w:r>
            <w:r w:rsidR="00754F3D">
              <w:rPr>
                <w:szCs w:val="22"/>
              </w:rPr>
              <w:t>=0.041</w:t>
            </w:r>
            <w:r>
              <w:rPr>
                <w:szCs w:val="22"/>
              </w:rPr>
              <w:t>)</w:t>
            </w:r>
          </w:p>
        </w:tc>
        <w:tc>
          <w:tcPr>
            <w:tcW w:w="1260" w:type="dxa"/>
            <w:tcBorders>
              <w:top w:val="single" w:sz="4" w:space="0" w:color="auto"/>
              <w:bottom w:val="single" w:sz="4" w:space="0" w:color="auto"/>
              <w:right w:val="nil"/>
            </w:tcBorders>
          </w:tcPr>
          <w:p w14:paraId="40EA06EF" w14:textId="6EF238A6" w:rsidR="00CA14FE" w:rsidRDefault="00CA14FE" w:rsidP="006D7C4A">
            <w:pPr>
              <w:cnfStyle w:val="000000000000" w:firstRow="0" w:lastRow="0" w:firstColumn="0" w:lastColumn="0" w:oddVBand="0" w:evenVBand="0" w:oddHBand="0" w:evenHBand="0" w:firstRowFirstColumn="0" w:firstRowLastColumn="0" w:lastRowFirstColumn="0" w:lastRowLastColumn="0"/>
              <w:rPr>
                <w:szCs w:val="22"/>
              </w:rPr>
            </w:pPr>
            <w:r w:rsidRPr="00B968AE">
              <w:rPr>
                <w:szCs w:val="22"/>
              </w:rPr>
              <w:t>7</w:t>
            </w:r>
            <w:r w:rsidR="00754F3D">
              <w:rPr>
                <w:szCs w:val="22"/>
              </w:rPr>
              <w:t>2.9</w:t>
            </w:r>
            <w:r w:rsidR="00B8038B">
              <w:rPr>
                <w:szCs w:val="22"/>
              </w:rPr>
              <w:t xml:space="preserve"> AP vs. 65.8</w:t>
            </w:r>
            <w:r w:rsidRPr="00B968AE">
              <w:rPr>
                <w:szCs w:val="22"/>
              </w:rPr>
              <w:t xml:space="preserve"> AQ </w:t>
            </w:r>
          </w:p>
          <w:p w14:paraId="580B322B" w14:textId="37F093F4" w:rsidR="00374C8E" w:rsidRPr="00B968AE" w:rsidRDefault="00593572"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w:t>
            </w:r>
            <w:r w:rsidR="00374C8E">
              <w:rPr>
                <w:szCs w:val="22"/>
              </w:rPr>
              <w:t>p=0.04</w:t>
            </w:r>
            <w:r>
              <w:rPr>
                <w:szCs w:val="22"/>
              </w:rPr>
              <w:t>)</w:t>
            </w:r>
          </w:p>
        </w:tc>
      </w:tr>
      <w:tr w:rsidR="00C056C5" w:rsidRPr="00B968AE" w14:paraId="3053D5A4" w14:textId="77777777" w:rsidTr="005042BD">
        <w:tc>
          <w:tcPr>
            <w:cnfStyle w:val="001000000000" w:firstRow="0" w:lastRow="0" w:firstColumn="1" w:lastColumn="0" w:oddVBand="0" w:evenVBand="0" w:oddHBand="0" w:evenHBand="0" w:firstRowFirstColumn="0" w:firstRowLastColumn="0" w:lastRowFirstColumn="0" w:lastRowLastColumn="0"/>
            <w:tcW w:w="1992" w:type="dxa"/>
            <w:tcBorders>
              <w:top w:val="single" w:sz="4" w:space="0" w:color="auto"/>
              <w:left w:val="nil"/>
              <w:bottom w:val="single" w:sz="4" w:space="0" w:color="auto"/>
            </w:tcBorders>
          </w:tcPr>
          <w:p w14:paraId="1B37B804" w14:textId="439B3736" w:rsidR="00C056C5" w:rsidRDefault="00C056C5" w:rsidP="007141DF">
            <w:pPr>
              <w:rPr>
                <w:szCs w:val="22"/>
              </w:rPr>
            </w:pPr>
            <w:r>
              <w:rPr>
                <w:szCs w:val="22"/>
              </w:rPr>
              <w:t xml:space="preserve">France </w:t>
            </w:r>
          </w:p>
          <w:p w14:paraId="67FF39E0" w14:textId="09C9A172" w:rsidR="00C056C5" w:rsidRPr="00B968AE" w:rsidRDefault="00C056C5" w:rsidP="007141DF">
            <w:pPr>
              <w:rPr>
                <w:szCs w:val="22"/>
              </w:rPr>
            </w:pPr>
            <w:r>
              <w:rPr>
                <w:szCs w:val="22"/>
              </w:rPr>
              <w:t>(</w:t>
            </w:r>
            <w:r w:rsidR="00577235">
              <w:rPr>
                <w:szCs w:val="22"/>
              </w:rPr>
              <w:t>non-immune, &gt; 16 years old)</w:t>
            </w:r>
          </w:p>
        </w:tc>
        <w:tc>
          <w:tcPr>
            <w:tcW w:w="1986" w:type="dxa"/>
            <w:tcBorders>
              <w:top w:val="single" w:sz="4" w:space="0" w:color="auto"/>
              <w:bottom w:val="single" w:sz="4" w:space="0" w:color="auto"/>
            </w:tcBorders>
          </w:tcPr>
          <w:p w14:paraId="455C2529" w14:textId="55E8CD45" w:rsidR="00C056C5" w:rsidRPr="00B968AE" w:rsidRDefault="0059791A" w:rsidP="00F444C9">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Randomized, multicenter, </w:t>
            </w:r>
            <w:r w:rsidR="00577235">
              <w:rPr>
                <w:szCs w:val="22"/>
              </w:rPr>
              <w:t xml:space="preserve">open-label, </w:t>
            </w:r>
            <w:r w:rsidR="005042BD">
              <w:rPr>
                <w:szCs w:val="22"/>
              </w:rPr>
              <w:t xml:space="preserve"> active-controlled, </w:t>
            </w:r>
            <w:r w:rsidR="00577235">
              <w:rPr>
                <w:szCs w:val="22"/>
              </w:rPr>
              <w:t xml:space="preserve">AP vs. </w:t>
            </w:r>
            <w:proofErr w:type="spellStart"/>
            <w:r w:rsidR="00577235">
              <w:rPr>
                <w:szCs w:val="22"/>
              </w:rPr>
              <w:t>halofrantrine</w:t>
            </w:r>
            <w:proofErr w:type="spellEnd"/>
            <w:r w:rsidR="00577235">
              <w:rPr>
                <w:szCs w:val="22"/>
              </w:rPr>
              <w:t xml:space="preserve"> (HF)</w:t>
            </w:r>
            <w:r w:rsidR="00F444C9" w:rsidRPr="00F444C9">
              <w:rPr>
                <w:szCs w:val="22"/>
                <w:vertAlign w:val="superscript"/>
              </w:rPr>
              <w:t xml:space="preserve"> </w:t>
            </w:r>
          </w:p>
        </w:tc>
        <w:tc>
          <w:tcPr>
            <w:tcW w:w="1170" w:type="dxa"/>
            <w:tcBorders>
              <w:top w:val="single" w:sz="4" w:space="0" w:color="auto"/>
              <w:bottom w:val="single" w:sz="4" w:space="0" w:color="auto"/>
            </w:tcBorders>
          </w:tcPr>
          <w:p w14:paraId="7B0A671D" w14:textId="2CE92161" w:rsidR="00C056C5" w:rsidRPr="005E255F" w:rsidRDefault="00577235" w:rsidP="007141DF">
            <w:pPr>
              <w:cnfStyle w:val="000000000000" w:firstRow="0" w:lastRow="0" w:firstColumn="0" w:lastColumn="0" w:oddVBand="0" w:evenVBand="0" w:oddHBand="0" w:evenHBand="0" w:firstRowFirstColumn="0" w:firstRowLastColumn="0" w:lastRowFirstColumn="0" w:lastRowLastColumn="0"/>
              <w:rPr>
                <w:szCs w:val="22"/>
              </w:rPr>
            </w:pPr>
            <w:r w:rsidRPr="005E255F">
              <w:rPr>
                <w:szCs w:val="22"/>
              </w:rPr>
              <w:t>39</w:t>
            </w:r>
          </w:p>
        </w:tc>
        <w:tc>
          <w:tcPr>
            <w:tcW w:w="1530" w:type="dxa"/>
            <w:tcBorders>
              <w:top w:val="single" w:sz="4" w:space="0" w:color="auto"/>
              <w:bottom w:val="single" w:sz="4" w:space="0" w:color="auto"/>
            </w:tcBorders>
          </w:tcPr>
          <w:p w14:paraId="5922BFD7" w14:textId="17434239" w:rsidR="00C056C5" w:rsidRPr="00B968AE" w:rsidRDefault="00577235" w:rsidP="007141DF">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100% AP vs. 100% HF </w:t>
            </w:r>
          </w:p>
        </w:tc>
        <w:tc>
          <w:tcPr>
            <w:tcW w:w="1260" w:type="dxa"/>
            <w:tcBorders>
              <w:top w:val="single" w:sz="4" w:space="0" w:color="auto"/>
              <w:bottom w:val="single" w:sz="4" w:space="0" w:color="auto"/>
            </w:tcBorders>
          </w:tcPr>
          <w:p w14:paraId="25268222" w14:textId="16E09613" w:rsidR="00C056C5" w:rsidRPr="00B968AE" w:rsidRDefault="00374C8E"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61.1  AP vs. 62.9 </w:t>
            </w:r>
            <w:r w:rsidR="002E3340">
              <w:rPr>
                <w:szCs w:val="22"/>
              </w:rPr>
              <w:t>HF</w:t>
            </w:r>
          </w:p>
        </w:tc>
        <w:tc>
          <w:tcPr>
            <w:tcW w:w="1260" w:type="dxa"/>
            <w:tcBorders>
              <w:top w:val="single" w:sz="4" w:space="0" w:color="auto"/>
              <w:bottom w:val="single" w:sz="4" w:space="0" w:color="auto"/>
              <w:right w:val="nil"/>
            </w:tcBorders>
          </w:tcPr>
          <w:p w14:paraId="515B22D3" w14:textId="63870ED9" w:rsidR="00C056C5" w:rsidRPr="00B968AE" w:rsidRDefault="00374C8E"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62.7AP vs. 50.0</w:t>
            </w:r>
            <w:r w:rsidR="00577235">
              <w:rPr>
                <w:szCs w:val="22"/>
              </w:rPr>
              <w:t xml:space="preserve"> HF</w:t>
            </w:r>
          </w:p>
        </w:tc>
      </w:tr>
      <w:tr w:rsidR="00C056C5" w:rsidRPr="00B968AE" w14:paraId="7860392A" w14:textId="77777777" w:rsidTr="005042BD">
        <w:tc>
          <w:tcPr>
            <w:cnfStyle w:val="001000000000" w:firstRow="0" w:lastRow="0" w:firstColumn="1" w:lastColumn="0" w:oddVBand="0" w:evenVBand="0" w:oddHBand="0" w:evenHBand="0" w:firstRowFirstColumn="0" w:firstRowLastColumn="0" w:lastRowFirstColumn="0" w:lastRowLastColumn="0"/>
            <w:tcW w:w="1992" w:type="dxa"/>
            <w:tcBorders>
              <w:top w:val="single" w:sz="4" w:space="0" w:color="auto"/>
              <w:left w:val="nil"/>
              <w:bottom w:val="single" w:sz="4" w:space="0" w:color="auto"/>
            </w:tcBorders>
          </w:tcPr>
          <w:p w14:paraId="1E7E06E8" w14:textId="63DBB57D" w:rsidR="00C056C5" w:rsidRDefault="00C056C5" w:rsidP="007141DF">
            <w:pPr>
              <w:rPr>
                <w:szCs w:val="22"/>
              </w:rPr>
            </w:pPr>
            <w:r>
              <w:rPr>
                <w:szCs w:val="22"/>
              </w:rPr>
              <w:t>Peru</w:t>
            </w:r>
          </w:p>
          <w:p w14:paraId="179E8881" w14:textId="721677E1" w:rsidR="00C056C5" w:rsidRDefault="00C056C5" w:rsidP="007141DF">
            <w:pPr>
              <w:rPr>
                <w:szCs w:val="22"/>
              </w:rPr>
            </w:pPr>
            <w:r>
              <w:rPr>
                <w:szCs w:val="22"/>
              </w:rPr>
              <w:t>(semi-immune, 12-65 years old</w:t>
            </w:r>
            <w:r w:rsidR="008A5B73">
              <w:rPr>
                <w:szCs w:val="22"/>
              </w:rPr>
              <w:t>)</w:t>
            </w:r>
          </w:p>
        </w:tc>
        <w:tc>
          <w:tcPr>
            <w:tcW w:w="1986" w:type="dxa"/>
            <w:tcBorders>
              <w:top w:val="single" w:sz="4" w:space="0" w:color="auto"/>
              <w:bottom w:val="single" w:sz="4" w:space="0" w:color="auto"/>
            </w:tcBorders>
          </w:tcPr>
          <w:p w14:paraId="0447CC5C" w14:textId="602C43F3" w:rsidR="005042BD" w:rsidRDefault="00C056C5" w:rsidP="007141DF">
            <w:pPr>
              <w:cnfStyle w:val="000000000000" w:firstRow="0" w:lastRow="0" w:firstColumn="0" w:lastColumn="0" w:oddVBand="0" w:evenVBand="0" w:oddHBand="0" w:evenHBand="0" w:firstRowFirstColumn="0" w:firstRowLastColumn="0" w:lastRowFirstColumn="0" w:lastRowLastColumn="0"/>
              <w:rPr>
                <w:szCs w:val="22"/>
              </w:rPr>
            </w:pPr>
            <w:r>
              <w:rPr>
                <w:szCs w:val="22"/>
              </w:rPr>
              <w:t>Randomized, open-label</w:t>
            </w:r>
            <w:r w:rsidR="0059791A">
              <w:rPr>
                <w:szCs w:val="22"/>
              </w:rPr>
              <w:t xml:space="preserve">, </w:t>
            </w:r>
            <w:r w:rsidR="005042BD">
              <w:rPr>
                <w:szCs w:val="22"/>
              </w:rPr>
              <w:t xml:space="preserve"> active controlled, 2 phases</w:t>
            </w:r>
          </w:p>
          <w:p w14:paraId="7676271A" w14:textId="77777777"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p>
          <w:p w14:paraId="2BA03F8F" w14:textId="5921272D" w:rsidR="00981830" w:rsidRDefault="005042BD" w:rsidP="007141DF">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Phase 1: </w:t>
            </w:r>
            <w:r w:rsidR="00C056C5">
              <w:rPr>
                <w:szCs w:val="22"/>
              </w:rPr>
              <w:t>AP vs. chloroquine</w:t>
            </w:r>
            <w:r w:rsidR="008A5B73">
              <w:rPr>
                <w:szCs w:val="22"/>
              </w:rPr>
              <w:t xml:space="preserve"> </w:t>
            </w:r>
            <w:r w:rsidR="00412790">
              <w:rPr>
                <w:szCs w:val="22"/>
              </w:rPr>
              <w:t>(CQ)</w:t>
            </w:r>
          </w:p>
          <w:p w14:paraId="194D294C" w14:textId="77777777" w:rsidR="00981830" w:rsidRDefault="00981830" w:rsidP="007141DF">
            <w:pPr>
              <w:cnfStyle w:val="000000000000" w:firstRow="0" w:lastRow="0" w:firstColumn="0" w:lastColumn="0" w:oddVBand="0" w:evenVBand="0" w:oddHBand="0" w:evenHBand="0" w:firstRowFirstColumn="0" w:firstRowLastColumn="0" w:lastRowFirstColumn="0" w:lastRowLastColumn="0"/>
              <w:rPr>
                <w:szCs w:val="22"/>
              </w:rPr>
            </w:pPr>
          </w:p>
          <w:p w14:paraId="658AEC1F" w14:textId="697D841F" w:rsidR="00412790" w:rsidRDefault="005042BD" w:rsidP="007141DF">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Phase 2: </w:t>
            </w:r>
            <w:r w:rsidR="00981830">
              <w:rPr>
                <w:szCs w:val="22"/>
              </w:rPr>
              <w:t xml:space="preserve">AP </w:t>
            </w:r>
            <w:r w:rsidR="00412790">
              <w:rPr>
                <w:szCs w:val="22"/>
              </w:rPr>
              <w:t xml:space="preserve">vs. </w:t>
            </w:r>
            <w:proofErr w:type="spellStart"/>
            <w:r w:rsidR="00A81D7C">
              <w:rPr>
                <w:szCs w:val="22"/>
              </w:rPr>
              <w:t>s</w:t>
            </w:r>
            <w:r w:rsidR="008A5B73">
              <w:rPr>
                <w:szCs w:val="22"/>
              </w:rPr>
              <w:t>ulfadoxine</w:t>
            </w:r>
            <w:proofErr w:type="spellEnd"/>
            <w:r w:rsidR="008A5B73">
              <w:rPr>
                <w:szCs w:val="22"/>
              </w:rPr>
              <w:t>/</w:t>
            </w:r>
          </w:p>
          <w:p w14:paraId="5C701DB1" w14:textId="1D9155A1" w:rsidR="00C056C5" w:rsidRDefault="008A5B73" w:rsidP="007141DF">
            <w:pPr>
              <w:cnfStyle w:val="000000000000" w:firstRow="0" w:lastRow="0" w:firstColumn="0" w:lastColumn="0" w:oddVBand="0" w:evenVBand="0" w:oddHBand="0" w:evenHBand="0" w:firstRowFirstColumn="0" w:firstRowLastColumn="0" w:lastRowFirstColumn="0" w:lastRowLastColumn="0"/>
              <w:rPr>
                <w:szCs w:val="22"/>
              </w:rPr>
            </w:pPr>
            <w:proofErr w:type="spellStart"/>
            <w:r>
              <w:rPr>
                <w:szCs w:val="22"/>
              </w:rPr>
              <w:t>pyrimethamine</w:t>
            </w:r>
            <w:proofErr w:type="spellEnd"/>
          </w:p>
          <w:p w14:paraId="37E77B0E" w14:textId="51CA054E" w:rsidR="008A5B73" w:rsidRPr="00B968AE" w:rsidRDefault="008A5B73" w:rsidP="007141DF">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(SP) </w:t>
            </w:r>
          </w:p>
        </w:tc>
        <w:tc>
          <w:tcPr>
            <w:tcW w:w="1170" w:type="dxa"/>
            <w:tcBorders>
              <w:top w:val="single" w:sz="4" w:space="0" w:color="auto"/>
              <w:bottom w:val="single" w:sz="4" w:space="0" w:color="auto"/>
            </w:tcBorders>
          </w:tcPr>
          <w:p w14:paraId="25E5C61D" w14:textId="574760D5"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r>
              <w:rPr>
                <w:szCs w:val="22"/>
              </w:rPr>
              <w:t>39</w:t>
            </w:r>
          </w:p>
          <w:p w14:paraId="7AEDFC1B" w14:textId="77777777"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p>
          <w:p w14:paraId="4280CC0A" w14:textId="77777777"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p>
          <w:p w14:paraId="002D1F93" w14:textId="77777777"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p>
          <w:p w14:paraId="16ED9325" w14:textId="77777777"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r>
              <w:rPr>
                <w:szCs w:val="22"/>
              </w:rPr>
              <w:t>27</w:t>
            </w:r>
          </w:p>
          <w:p w14:paraId="3332A552" w14:textId="77777777"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p>
          <w:p w14:paraId="5C390242" w14:textId="77777777"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p>
          <w:p w14:paraId="12188F92" w14:textId="77777777"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p>
          <w:p w14:paraId="5348959A" w14:textId="016870A3"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r>
              <w:rPr>
                <w:szCs w:val="22"/>
              </w:rPr>
              <w:t>12</w:t>
            </w:r>
          </w:p>
          <w:p w14:paraId="466898C9" w14:textId="36640A2B" w:rsidR="005042BD" w:rsidRPr="005E255F" w:rsidRDefault="005042BD" w:rsidP="007141DF">
            <w:pPr>
              <w:cnfStyle w:val="000000000000" w:firstRow="0" w:lastRow="0" w:firstColumn="0" w:lastColumn="0" w:oddVBand="0" w:evenVBand="0" w:oddHBand="0" w:evenHBand="0" w:firstRowFirstColumn="0" w:firstRowLastColumn="0" w:lastRowFirstColumn="0" w:lastRowLastColumn="0"/>
              <w:rPr>
                <w:szCs w:val="22"/>
              </w:rPr>
            </w:pPr>
          </w:p>
        </w:tc>
        <w:tc>
          <w:tcPr>
            <w:tcW w:w="1530" w:type="dxa"/>
            <w:tcBorders>
              <w:top w:val="single" w:sz="4" w:space="0" w:color="auto"/>
              <w:bottom w:val="single" w:sz="4" w:space="0" w:color="auto"/>
            </w:tcBorders>
          </w:tcPr>
          <w:p w14:paraId="21EBE4BB" w14:textId="77777777"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p>
          <w:p w14:paraId="71B2A622" w14:textId="77777777"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p>
          <w:p w14:paraId="6D9C5C23" w14:textId="77777777"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p>
          <w:p w14:paraId="5E2106CB" w14:textId="77777777" w:rsidR="005042BD" w:rsidRDefault="005042BD" w:rsidP="007141DF">
            <w:pPr>
              <w:cnfStyle w:val="000000000000" w:firstRow="0" w:lastRow="0" w:firstColumn="0" w:lastColumn="0" w:oddVBand="0" w:evenVBand="0" w:oddHBand="0" w:evenHBand="0" w:firstRowFirstColumn="0" w:firstRowLastColumn="0" w:lastRowFirstColumn="0" w:lastRowLastColumn="0"/>
              <w:rPr>
                <w:szCs w:val="22"/>
              </w:rPr>
            </w:pPr>
          </w:p>
          <w:p w14:paraId="5E249AF6" w14:textId="68CD15C2" w:rsidR="00412790" w:rsidRDefault="00B50C2F" w:rsidP="007141DF">
            <w:pPr>
              <w:cnfStyle w:val="000000000000" w:firstRow="0" w:lastRow="0" w:firstColumn="0" w:lastColumn="0" w:oddVBand="0" w:evenVBand="0" w:oddHBand="0" w:evenHBand="0" w:firstRowFirstColumn="0" w:firstRowLastColumn="0" w:lastRowFirstColumn="0" w:lastRowLastColumn="0"/>
              <w:rPr>
                <w:szCs w:val="22"/>
              </w:rPr>
            </w:pPr>
            <w:r>
              <w:rPr>
                <w:szCs w:val="22"/>
              </w:rPr>
              <w:t>100% AP vs. 7.7</w:t>
            </w:r>
            <w:r w:rsidR="00412790">
              <w:rPr>
                <w:szCs w:val="22"/>
              </w:rPr>
              <w:t>%</w:t>
            </w:r>
            <w:r w:rsidR="0071714C">
              <w:rPr>
                <w:szCs w:val="22"/>
              </w:rPr>
              <w:t xml:space="preserve"> </w:t>
            </w:r>
            <w:r w:rsidR="00412790">
              <w:rPr>
                <w:szCs w:val="22"/>
              </w:rPr>
              <w:t xml:space="preserve"> CQ</w:t>
            </w:r>
          </w:p>
          <w:p w14:paraId="30F37E4C" w14:textId="77777777" w:rsidR="00981830" w:rsidRDefault="00981830" w:rsidP="007141DF">
            <w:pPr>
              <w:cnfStyle w:val="000000000000" w:firstRow="0" w:lastRow="0" w:firstColumn="0" w:lastColumn="0" w:oddVBand="0" w:evenVBand="0" w:oddHBand="0" w:evenHBand="0" w:firstRowFirstColumn="0" w:firstRowLastColumn="0" w:lastRowFirstColumn="0" w:lastRowLastColumn="0"/>
              <w:rPr>
                <w:szCs w:val="22"/>
              </w:rPr>
            </w:pPr>
          </w:p>
          <w:p w14:paraId="0840FB96" w14:textId="77777777" w:rsidR="00981830" w:rsidRDefault="00981830" w:rsidP="007141DF">
            <w:pPr>
              <w:cnfStyle w:val="000000000000" w:firstRow="0" w:lastRow="0" w:firstColumn="0" w:lastColumn="0" w:oddVBand="0" w:evenVBand="0" w:oddHBand="0" w:evenHBand="0" w:firstRowFirstColumn="0" w:firstRowLastColumn="0" w:lastRowFirstColumn="0" w:lastRowLastColumn="0"/>
              <w:rPr>
                <w:szCs w:val="22"/>
              </w:rPr>
            </w:pPr>
          </w:p>
          <w:p w14:paraId="35BA228C" w14:textId="5D429395" w:rsidR="00412790" w:rsidRPr="00B968AE" w:rsidRDefault="00412790" w:rsidP="007141DF">
            <w:pPr>
              <w:cnfStyle w:val="000000000000" w:firstRow="0" w:lastRow="0" w:firstColumn="0" w:lastColumn="0" w:oddVBand="0" w:evenVBand="0" w:oddHBand="0" w:evenHBand="0" w:firstRowFirstColumn="0" w:firstRowLastColumn="0" w:lastRowFirstColumn="0" w:lastRowLastColumn="0"/>
              <w:rPr>
                <w:szCs w:val="22"/>
              </w:rPr>
            </w:pPr>
            <w:r>
              <w:rPr>
                <w:szCs w:val="22"/>
              </w:rPr>
              <w:t>100%  AP vs. 100% SP</w:t>
            </w:r>
          </w:p>
        </w:tc>
        <w:tc>
          <w:tcPr>
            <w:tcW w:w="1260" w:type="dxa"/>
            <w:tcBorders>
              <w:top w:val="single" w:sz="4" w:space="0" w:color="auto"/>
              <w:bottom w:val="single" w:sz="4" w:space="0" w:color="auto"/>
            </w:tcBorders>
          </w:tcPr>
          <w:p w14:paraId="2287993C" w14:textId="77777777" w:rsidR="005042BD" w:rsidRDefault="005042BD" w:rsidP="006D7C4A">
            <w:pPr>
              <w:cnfStyle w:val="000000000000" w:firstRow="0" w:lastRow="0" w:firstColumn="0" w:lastColumn="0" w:oddVBand="0" w:evenVBand="0" w:oddHBand="0" w:evenHBand="0" w:firstRowFirstColumn="0" w:firstRowLastColumn="0" w:lastRowFirstColumn="0" w:lastRowLastColumn="0"/>
              <w:rPr>
                <w:szCs w:val="22"/>
              </w:rPr>
            </w:pPr>
          </w:p>
          <w:p w14:paraId="470E69A3" w14:textId="77777777" w:rsidR="005042BD" w:rsidRDefault="005042BD" w:rsidP="006D7C4A">
            <w:pPr>
              <w:cnfStyle w:val="000000000000" w:firstRow="0" w:lastRow="0" w:firstColumn="0" w:lastColumn="0" w:oddVBand="0" w:evenVBand="0" w:oddHBand="0" w:evenHBand="0" w:firstRowFirstColumn="0" w:firstRowLastColumn="0" w:lastRowFirstColumn="0" w:lastRowLastColumn="0"/>
              <w:rPr>
                <w:szCs w:val="22"/>
              </w:rPr>
            </w:pPr>
          </w:p>
          <w:p w14:paraId="0EF78010" w14:textId="77777777" w:rsidR="005042BD" w:rsidRDefault="005042BD" w:rsidP="006D7C4A">
            <w:pPr>
              <w:cnfStyle w:val="000000000000" w:firstRow="0" w:lastRow="0" w:firstColumn="0" w:lastColumn="0" w:oddVBand="0" w:evenVBand="0" w:oddHBand="0" w:evenHBand="0" w:firstRowFirstColumn="0" w:firstRowLastColumn="0" w:lastRowFirstColumn="0" w:lastRowLastColumn="0"/>
              <w:rPr>
                <w:szCs w:val="22"/>
              </w:rPr>
            </w:pPr>
          </w:p>
          <w:p w14:paraId="340E8306" w14:textId="77777777" w:rsidR="005042BD" w:rsidRDefault="005042BD" w:rsidP="006D7C4A">
            <w:pPr>
              <w:cnfStyle w:val="000000000000" w:firstRow="0" w:lastRow="0" w:firstColumn="0" w:lastColumn="0" w:oddVBand="0" w:evenVBand="0" w:oddHBand="0" w:evenHBand="0" w:firstRowFirstColumn="0" w:firstRowLastColumn="0" w:lastRowFirstColumn="0" w:lastRowLastColumn="0"/>
              <w:rPr>
                <w:szCs w:val="22"/>
              </w:rPr>
            </w:pPr>
          </w:p>
          <w:p w14:paraId="3591B2D9" w14:textId="7C573FA5" w:rsidR="00C056C5" w:rsidRDefault="00412790"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42.9 </w:t>
            </w:r>
            <w:r w:rsidR="00D61703">
              <w:rPr>
                <w:szCs w:val="22"/>
              </w:rPr>
              <w:t>AP vs. 40.6</w:t>
            </w:r>
            <w:r>
              <w:rPr>
                <w:szCs w:val="22"/>
              </w:rPr>
              <w:t xml:space="preserve"> CQ</w:t>
            </w:r>
          </w:p>
          <w:p w14:paraId="40005207" w14:textId="77777777" w:rsidR="00981830" w:rsidRDefault="00981830" w:rsidP="006D7C4A">
            <w:pPr>
              <w:cnfStyle w:val="000000000000" w:firstRow="0" w:lastRow="0" w:firstColumn="0" w:lastColumn="0" w:oddVBand="0" w:evenVBand="0" w:oddHBand="0" w:evenHBand="0" w:firstRowFirstColumn="0" w:firstRowLastColumn="0" w:lastRowFirstColumn="0" w:lastRowLastColumn="0"/>
              <w:rPr>
                <w:szCs w:val="22"/>
              </w:rPr>
            </w:pPr>
          </w:p>
          <w:p w14:paraId="4A3E284B" w14:textId="77777777" w:rsidR="005042BD" w:rsidRDefault="005042BD" w:rsidP="006D7C4A">
            <w:pPr>
              <w:cnfStyle w:val="000000000000" w:firstRow="0" w:lastRow="0" w:firstColumn="0" w:lastColumn="0" w:oddVBand="0" w:evenVBand="0" w:oddHBand="0" w:evenHBand="0" w:firstRowFirstColumn="0" w:firstRowLastColumn="0" w:lastRowFirstColumn="0" w:lastRowLastColumn="0"/>
              <w:rPr>
                <w:szCs w:val="22"/>
              </w:rPr>
            </w:pPr>
          </w:p>
          <w:p w14:paraId="40CC324C" w14:textId="780DEE36" w:rsidR="00412790" w:rsidRPr="00B968AE" w:rsidRDefault="00D61703"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38.4 AP vs. 4.6</w:t>
            </w:r>
            <w:r w:rsidR="00412790">
              <w:rPr>
                <w:szCs w:val="22"/>
              </w:rPr>
              <w:t xml:space="preserve">8 SP </w:t>
            </w:r>
          </w:p>
        </w:tc>
        <w:tc>
          <w:tcPr>
            <w:tcW w:w="1260" w:type="dxa"/>
            <w:tcBorders>
              <w:top w:val="single" w:sz="4" w:space="0" w:color="auto"/>
              <w:bottom w:val="single" w:sz="4" w:space="0" w:color="auto"/>
              <w:right w:val="nil"/>
            </w:tcBorders>
          </w:tcPr>
          <w:p w14:paraId="47F8A43A" w14:textId="77777777" w:rsidR="005042BD" w:rsidRDefault="005042BD" w:rsidP="006D7C4A">
            <w:pPr>
              <w:cnfStyle w:val="000000000000" w:firstRow="0" w:lastRow="0" w:firstColumn="0" w:lastColumn="0" w:oddVBand="0" w:evenVBand="0" w:oddHBand="0" w:evenHBand="0" w:firstRowFirstColumn="0" w:firstRowLastColumn="0" w:lastRowFirstColumn="0" w:lastRowLastColumn="0"/>
              <w:rPr>
                <w:szCs w:val="22"/>
              </w:rPr>
            </w:pPr>
          </w:p>
          <w:p w14:paraId="28C12AAD" w14:textId="77777777" w:rsidR="005042BD" w:rsidRDefault="005042BD" w:rsidP="006D7C4A">
            <w:pPr>
              <w:cnfStyle w:val="000000000000" w:firstRow="0" w:lastRow="0" w:firstColumn="0" w:lastColumn="0" w:oddVBand="0" w:evenVBand="0" w:oddHBand="0" w:evenHBand="0" w:firstRowFirstColumn="0" w:firstRowLastColumn="0" w:lastRowFirstColumn="0" w:lastRowLastColumn="0"/>
              <w:rPr>
                <w:szCs w:val="22"/>
              </w:rPr>
            </w:pPr>
          </w:p>
          <w:p w14:paraId="158EEE04" w14:textId="77777777" w:rsidR="005042BD" w:rsidRDefault="005042BD" w:rsidP="006D7C4A">
            <w:pPr>
              <w:cnfStyle w:val="000000000000" w:firstRow="0" w:lastRow="0" w:firstColumn="0" w:lastColumn="0" w:oddVBand="0" w:evenVBand="0" w:oddHBand="0" w:evenHBand="0" w:firstRowFirstColumn="0" w:firstRowLastColumn="0" w:lastRowFirstColumn="0" w:lastRowLastColumn="0"/>
              <w:rPr>
                <w:szCs w:val="22"/>
              </w:rPr>
            </w:pPr>
          </w:p>
          <w:p w14:paraId="2BC546E9" w14:textId="77777777" w:rsidR="005042BD" w:rsidRDefault="005042BD" w:rsidP="006D7C4A">
            <w:pPr>
              <w:cnfStyle w:val="000000000000" w:firstRow="0" w:lastRow="0" w:firstColumn="0" w:lastColumn="0" w:oddVBand="0" w:evenVBand="0" w:oddHBand="0" w:evenHBand="0" w:firstRowFirstColumn="0" w:firstRowLastColumn="0" w:lastRowFirstColumn="0" w:lastRowLastColumn="0"/>
              <w:rPr>
                <w:szCs w:val="22"/>
              </w:rPr>
            </w:pPr>
          </w:p>
          <w:p w14:paraId="3B24E71D" w14:textId="2CD217F2" w:rsidR="00C056C5" w:rsidRDefault="00D61703"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55.7 AP vs. 54.1</w:t>
            </w:r>
            <w:r w:rsidR="00412790">
              <w:rPr>
                <w:szCs w:val="22"/>
              </w:rPr>
              <w:t xml:space="preserve"> CQ</w:t>
            </w:r>
          </w:p>
          <w:p w14:paraId="6757BAA5" w14:textId="77777777" w:rsidR="00981830" w:rsidRDefault="00981830" w:rsidP="006D7C4A">
            <w:pPr>
              <w:cnfStyle w:val="000000000000" w:firstRow="0" w:lastRow="0" w:firstColumn="0" w:lastColumn="0" w:oddVBand="0" w:evenVBand="0" w:oddHBand="0" w:evenHBand="0" w:firstRowFirstColumn="0" w:firstRowLastColumn="0" w:lastRowFirstColumn="0" w:lastRowLastColumn="0"/>
              <w:rPr>
                <w:szCs w:val="22"/>
              </w:rPr>
            </w:pPr>
          </w:p>
          <w:p w14:paraId="4D9CA24E" w14:textId="77777777" w:rsidR="005042BD" w:rsidRDefault="005042BD" w:rsidP="006D7C4A">
            <w:pPr>
              <w:cnfStyle w:val="000000000000" w:firstRow="0" w:lastRow="0" w:firstColumn="0" w:lastColumn="0" w:oddVBand="0" w:evenVBand="0" w:oddHBand="0" w:evenHBand="0" w:firstRowFirstColumn="0" w:firstRowLastColumn="0" w:lastRowFirstColumn="0" w:lastRowLastColumn="0"/>
              <w:rPr>
                <w:szCs w:val="22"/>
              </w:rPr>
            </w:pPr>
          </w:p>
          <w:p w14:paraId="74B2547D" w14:textId="12ED59F6" w:rsidR="00412790" w:rsidRPr="00B968AE" w:rsidRDefault="00412790" w:rsidP="006D7C4A">
            <w:pPr>
              <w:cnfStyle w:val="000000000000" w:firstRow="0" w:lastRow="0" w:firstColumn="0" w:lastColumn="0" w:oddVBand="0" w:evenVBand="0" w:oddHBand="0" w:evenHBand="0" w:firstRowFirstColumn="0" w:firstRowLastColumn="0" w:lastRowFirstColumn="0" w:lastRowLastColumn="0"/>
              <w:rPr>
                <w:szCs w:val="22"/>
              </w:rPr>
            </w:pPr>
            <w:r>
              <w:rPr>
                <w:szCs w:val="22"/>
              </w:rPr>
              <w:t>44.4 AP vs. 38</w:t>
            </w:r>
            <w:r w:rsidR="00D61703">
              <w:rPr>
                <w:szCs w:val="22"/>
              </w:rPr>
              <w:t>.6</w:t>
            </w:r>
            <w:r>
              <w:rPr>
                <w:szCs w:val="22"/>
              </w:rPr>
              <w:t xml:space="preserve"> SP</w:t>
            </w:r>
          </w:p>
        </w:tc>
      </w:tr>
    </w:tbl>
    <w:p w14:paraId="57EF126B" w14:textId="6FA756C0" w:rsidR="00781BF7" w:rsidRPr="00781BF7" w:rsidRDefault="00781BF7" w:rsidP="008B29FF">
      <w:pPr>
        <w:rPr>
          <w:szCs w:val="22"/>
        </w:rPr>
      </w:pPr>
      <w:proofErr w:type="gramStart"/>
      <w:r>
        <w:rPr>
          <w:szCs w:val="22"/>
          <w:vertAlign w:val="superscript"/>
        </w:rPr>
        <w:t>a</w:t>
      </w:r>
      <w:proofErr w:type="gramEnd"/>
      <w:r>
        <w:rPr>
          <w:szCs w:val="22"/>
          <w:vertAlign w:val="superscript"/>
        </w:rPr>
        <w:t xml:space="preserve"> </w:t>
      </w:r>
      <w:r w:rsidR="00C37839">
        <w:rPr>
          <w:szCs w:val="22"/>
        </w:rPr>
        <w:t xml:space="preserve">Data obtained from </w:t>
      </w:r>
      <w:r>
        <w:rPr>
          <w:szCs w:val="22"/>
        </w:rPr>
        <w:t>FDA Statistical Review</w:t>
      </w:r>
    </w:p>
    <w:p w14:paraId="2349F54A" w14:textId="5E61C3F7" w:rsidR="0067505C" w:rsidRPr="0067505C" w:rsidRDefault="00781BF7" w:rsidP="008B29FF">
      <w:pPr>
        <w:rPr>
          <w:szCs w:val="22"/>
        </w:rPr>
      </w:pPr>
      <w:proofErr w:type="gramStart"/>
      <w:r>
        <w:rPr>
          <w:szCs w:val="22"/>
          <w:vertAlign w:val="superscript"/>
        </w:rPr>
        <w:t>b</w:t>
      </w:r>
      <w:proofErr w:type="gramEnd"/>
      <w:r w:rsidR="0067505C">
        <w:rPr>
          <w:szCs w:val="22"/>
          <w:vertAlign w:val="superscript"/>
        </w:rPr>
        <w:t xml:space="preserve"> </w:t>
      </w:r>
      <w:r w:rsidR="0067505C" w:rsidRPr="0067505C">
        <w:rPr>
          <w:szCs w:val="22"/>
        </w:rPr>
        <w:t>95% CI</w:t>
      </w:r>
      <w:r w:rsidR="009F57B8">
        <w:rPr>
          <w:szCs w:val="22"/>
        </w:rPr>
        <w:t xml:space="preserve"> provided</w:t>
      </w:r>
      <w:r w:rsidR="0067505C">
        <w:rPr>
          <w:szCs w:val="22"/>
        </w:rPr>
        <w:t xml:space="preserve"> when available </w:t>
      </w:r>
    </w:p>
    <w:p w14:paraId="511D3C02" w14:textId="6016721D" w:rsidR="00BF7A46" w:rsidRDefault="00781BF7" w:rsidP="008B29FF">
      <w:pPr>
        <w:rPr>
          <w:szCs w:val="22"/>
        </w:rPr>
      </w:pPr>
      <w:proofErr w:type="gramStart"/>
      <w:r>
        <w:rPr>
          <w:szCs w:val="22"/>
          <w:vertAlign w:val="superscript"/>
        </w:rPr>
        <w:t>c</w:t>
      </w:r>
      <w:proofErr w:type="gramEnd"/>
      <w:r w:rsidR="00BF7A46">
        <w:rPr>
          <w:szCs w:val="22"/>
          <w:vertAlign w:val="superscript"/>
        </w:rPr>
        <w:t xml:space="preserve"> </w:t>
      </w:r>
      <w:r w:rsidR="00BF7A46">
        <w:rPr>
          <w:szCs w:val="22"/>
        </w:rPr>
        <w:t xml:space="preserve">p values </w:t>
      </w:r>
      <w:r w:rsidR="004C5AF5">
        <w:rPr>
          <w:szCs w:val="22"/>
        </w:rPr>
        <w:t xml:space="preserve">provided when </w:t>
      </w:r>
      <w:r w:rsidR="00BF7A46">
        <w:rPr>
          <w:szCs w:val="22"/>
        </w:rPr>
        <w:t>available.</w:t>
      </w:r>
    </w:p>
    <w:p w14:paraId="4D673086" w14:textId="65AB173C" w:rsidR="0067505C" w:rsidRPr="00B968AE" w:rsidRDefault="00781BF7" w:rsidP="008B29FF">
      <w:pPr>
        <w:rPr>
          <w:szCs w:val="22"/>
        </w:rPr>
      </w:pPr>
      <w:proofErr w:type="gramStart"/>
      <w:r>
        <w:rPr>
          <w:szCs w:val="22"/>
          <w:vertAlign w:val="superscript"/>
        </w:rPr>
        <w:t>d</w:t>
      </w:r>
      <w:proofErr w:type="gramEnd"/>
      <w:r>
        <w:rPr>
          <w:szCs w:val="22"/>
          <w:vertAlign w:val="superscript"/>
        </w:rPr>
        <w:t xml:space="preserve"> </w:t>
      </w:r>
      <w:r w:rsidR="0067505C" w:rsidRPr="00B968AE">
        <w:rPr>
          <w:szCs w:val="22"/>
        </w:rPr>
        <w:t xml:space="preserve">In this study, after 40 patients had been entered in to the trial, the cure rate with chloroquine was &lt; 35%, and, for ethical reasons, the protocol was amended so that patients subsequently randomized to receive chloroquine also received a </w:t>
      </w:r>
      <w:proofErr w:type="spellStart"/>
      <w:r w:rsidR="0067505C" w:rsidRPr="00B968AE">
        <w:rPr>
          <w:szCs w:val="22"/>
        </w:rPr>
        <w:t>sulfadoxine-pyrimethamine</w:t>
      </w:r>
      <w:proofErr w:type="spellEnd"/>
      <w:r w:rsidR="0067505C">
        <w:rPr>
          <w:szCs w:val="22"/>
        </w:rPr>
        <w:t xml:space="preserve"> (SP +CQ)</w:t>
      </w:r>
      <w:r w:rsidR="0067505C" w:rsidRPr="00B968AE">
        <w:rPr>
          <w:szCs w:val="22"/>
        </w:rPr>
        <w:t xml:space="preserve"> combination. </w:t>
      </w:r>
    </w:p>
    <w:p w14:paraId="2F16CB17" w14:textId="1C5A21F2" w:rsidR="00537E8D" w:rsidRPr="00B968AE" w:rsidRDefault="00537E8D">
      <w:pPr>
        <w:pStyle w:val="Heading1"/>
        <w:rPr>
          <w:rFonts w:ascii="Times New Roman" w:hAnsi="Times New Roman"/>
          <w:szCs w:val="22"/>
        </w:rPr>
      </w:pPr>
      <w:r w:rsidRPr="00B968AE">
        <w:rPr>
          <w:rFonts w:ascii="Times New Roman" w:hAnsi="Times New Roman"/>
          <w:szCs w:val="22"/>
        </w:rPr>
        <w:lastRenderedPageBreak/>
        <w:t>Adverse Events (Safety Data</w:t>
      </w:r>
      <w:r w:rsidR="00C404C3" w:rsidRPr="00B968AE">
        <w:rPr>
          <w:rFonts w:ascii="Times New Roman" w:hAnsi="Times New Roman"/>
          <w:szCs w:val="22"/>
        </w:rPr>
        <w:t>)</w:t>
      </w:r>
      <w:r w:rsidR="00C404C3" w:rsidRPr="00B968AE">
        <w:rPr>
          <w:rFonts w:ascii="Times New Roman" w:hAnsi="Times New Roman"/>
          <w:b w:val="0"/>
          <w:szCs w:val="22"/>
          <w:u w:val="none"/>
          <w:vertAlign w:val="superscript"/>
        </w:rPr>
        <w:t xml:space="preserve"> 1</w:t>
      </w:r>
      <w:r w:rsidR="00750445" w:rsidRPr="00B968AE">
        <w:rPr>
          <w:rFonts w:ascii="Times New Roman" w:hAnsi="Times New Roman"/>
          <w:b w:val="0"/>
          <w:szCs w:val="22"/>
          <w:u w:val="none"/>
          <w:vertAlign w:val="superscript"/>
        </w:rPr>
        <w:t>, 2</w:t>
      </w:r>
      <w:r w:rsidR="00E7153A">
        <w:rPr>
          <w:rFonts w:ascii="Times New Roman" w:hAnsi="Times New Roman"/>
          <w:b w:val="0"/>
          <w:szCs w:val="22"/>
          <w:u w:val="none"/>
          <w:vertAlign w:val="superscript"/>
        </w:rPr>
        <w:t>0</w:t>
      </w:r>
    </w:p>
    <w:p w14:paraId="1C0F436D" w14:textId="109A676B" w:rsidR="00FD4407" w:rsidRPr="00B968AE" w:rsidRDefault="00FD4407" w:rsidP="00FD4407">
      <w:pPr>
        <w:rPr>
          <w:szCs w:val="22"/>
        </w:rPr>
      </w:pPr>
      <w:r w:rsidRPr="00B968AE">
        <w:rPr>
          <w:szCs w:val="22"/>
        </w:rPr>
        <w:t xml:space="preserve">The most commonly reported adverse events possibly attributed to atovaquone/proguanil were headache, </w:t>
      </w:r>
      <w:proofErr w:type="gramStart"/>
      <w:r w:rsidRPr="00B968AE">
        <w:rPr>
          <w:szCs w:val="22"/>
        </w:rPr>
        <w:t>nausea,</w:t>
      </w:r>
      <w:proofErr w:type="gramEnd"/>
      <w:r w:rsidRPr="00B968AE">
        <w:rPr>
          <w:szCs w:val="22"/>
        </w:rPr>
        <w:t xml:space="preserve"> vomiting, abdominal pain, and diarrhea</w:t>
      </w:r>
      <w:r>
        <w:rPr>
          <w:szCs w:val="22"/>
        </w:rPr>
        <w:t xml:space="preserve"> (Refer to Table 4 and 5)</w:t>
      </w:r>
      <w:r w:rsidRPr="00B968AE">
        <w:rPr>
          <w:szCs w:val="22"/>
        </w:rPr>
        <w:t>.</w:t>
      </w:r>
      <w:r w:rsidRPr="00FD4407">
        <w:rPr>
          <w:szCs w:val="22"/>
        </w:rPr>
        <w:t xml:space="preserve"> </w:t>
      </w:r>
      <w:r w:rsidRPr="00B968AE">
        <w:rPr>
          <w:szCs w:val="22"/>
        </w:rPr>
        <w:t xml:space="preserve">Among subjects who received atovaquone/proguanil prophylaxis for malaria in comparator-controlled trials, fewer neuropsychiatric adverse experiences occurred in atovaquone/proguanil treated patients than mefloquine. </w:t>
      </w:r>
    </w:p>
    <w:p w14:paraId="110C08E3" w14:textId="77777777" w:rsidR="00CB1B2C" w:rsidRPr="00B968AE" w:rsidRDefault="00CB1B2C" w:rsidP="009E4E80">
      <w:pPr>
        <w:rPr>
          <w:szCs w:val="22"/>
        </w:rPr>
      </w:pPr>
    </w:p>
    <w:p w14:paraId="53ACFA41" w14:textId="2B0A9818" w:rsidR="00DF71BE" w:rsidRPr="00B968AE" w:rsidRDefault="00756963" w:rsidP="009E4E80">
      <w:pPr>
        <w:rPr>
          <w:b/>
          <w:szCs w:val="22"/>
        </w:rPr>
      </w:pPr>
      <w:r w:rsidRPr="00B968AE">
        <w:rPr>
          <w:b/>
          <w:szCs w:val="22"/>
        </w:rPr>
        <w:t>Table 4</w:t>
      </w:r>
      <w:r w:rsidR="00DF71BE" w:rsidRPr="00B968AE">
        <w:rPr>
          <w:b/>
          <w:szCs w:val="22"/>
        </w:rPr>
        <w:t xml:space="preserve">: </w:t>
      </w:r>
      <w:r w:rsidR="00D71CD3" w:rsidRPr="00B968AE">
        <w:rPr>
          <w:b/>
          <w:szCs w:val="22"/>
        </w:rPr>
        <w:t>Adverse e</w:t>
      </w:r>
      <w:r w:rsidR="00FA0674">
        <w:rPr>
          <w:b/>
          <w:szCs w:val="22"/>
        </w:rPr>
        <w:t xml:space="preserve">vents </w:t>
      </w:r>
      <w:r w:rsidR="00DF71BE" w:rsidRPr="00B968AE">
        <w:rPr>
          <w:b/>
          <w:szCs w:val="22"/>
        </w:rPr>
        <w:t>occurring of</w:t>
      </w:r>
      <w:r w:rsidR="00086254" w:rsidRPr="00B968AE">
        <w:rPr>
          <w:b/>
          <w:szCs w:val="22"/>
        </w:rPr>
        <w:t xml:space="preserve"> adults</w:t>
      </w:r>
      <w:r w:rsidR="00DF71BE" w:rsidRPr="00B968AE">
        <w:rPr>
          <w:b/>
          <w:szCs w:val="22"/>
        </w:rPr>
        <w:t xml:space="preserve"> patients in clinical trials </w:t>
      </w:r>
      <w:r w:rsidR="00086254" w:rsidRPr="00B968AE">
        <w:rPr>
          <w:b/>
          <w:szCs w:val="22"/>
        </w:rPr>
        <w:t>for prophylaxis of malaria</w:t>
      </w:r>
    </w:p>
    <w:tbl>
      <w:tblPr>
        <w:tblW w:w="0" w:type="auto"/>
        <w:tblBorders>
          <w:top w:val="single" w:sz="12" w:space="0" w:color="000000"/>
          <w:bottom w:val="single" w:sz="12" w:space="0" w:color="000000"/>
        </w:tblBorders>
        <w:tblLook w:val="04A0" w:firstRow="1" w:lastRow="0" w:firstColumn="1" w:lastColumn="0" w:noHBand="0" w:noVBand="1"/>
      </w:tblPr>
      <w:tblGrid>
        <w:gridCol w:w="2952"/>
        <w:gridCol w:w="2952"/>
        <w:gridCol w:w="2952"/>
      </w:tblGrid>
      <w:tr w:rsidR="00DF71BE" w:rsidRPr="00B968AE" w14:paraId="3A391C02" w14:textId="77777777" w:rsidTr="00525325">
        <w:tc>
          <w:tcPr>
            <w:tcW w:w="2952" w:type="dxa"/>
            <w:tcBorders>
              <w:bottom w:val="single" w:sz="6" w:space="0" w:color="000000"/>
            </w:tcBorders>
            <w:shd w:val="clear" w:color="auto" w:fill="auto"/>
          </w:tcPr>
          <w:p w14:paraId="2E097C30" w14:textId="55E9C52E" w:rsidR="00DF71BE" w:rsidRPr="00FA0674" w:rsidRDefault="00DF71BE" w:rsidP="009E4E80">
            <w:pPr>
              <w:rPr>
                <w:b/>
                <w:szCs w:val="22"/>
              </w:rPr>
            </w:pPr>
            <w:r w:rsidRPr="00B968AE">
              <w:rPr>
                <w:b/>
                <w:szCs w:val="22"/>
              </w:rPr>
              <w:t xml:space="preserve">Adverse </w:t>
            </w:r>
            <w:proofErr w:type="spellStart"/>
            <w:r w:rsidRPr="00B968AE">
              <w:rPr>
                <w:b/>
                <w:szCs w:val="22"/>
              </w:rPr>
              <w:t>event</w:t>
            </w:r>
            <w:r w:rsidR="00FA0674">
              <w:rPr>
                <w:b/>
                <w:szCs w:val="22"/>
              </w:rPr>
              <w:t>s</w:t>
            </w:r>
            <w:r w:rsidR="00FA0674" w:rsidRPr="00FA0674">
              <w:rPr>
                <w:b/>
                <w:szCs w:val="22"/>
                <w:vertAlign w:val="superscript"/>
              </w:rPr>
              <w:t>a</w:t>
            </w:r>
            <w:proofErr w:type="spellEnd"/>
            <w:r w:rsidR="00FA0674">
              <w:rPr>
                <w:b/>
                <w:szCs w:val="22"/>
                <w:vertAlign w:val="superscript"/>
              </w:rPr>
              <w:t xml:space="preserve"> </w:t>
            </w:r>
          </w:p>
        </w:tc>
        <w:tc>
          <w:tcPr>
            <w:tcW w:w="2952" w:type="dxa"/>
            <w:tcBorders>
              <w:bottom w:val="single" w:sz="6" w:space="0" w:color="000000"/>
            </w:tcBorders>
            <w:shd w:val="clear" w:color="auto" w:fill="auto"/>
          </w:tcPr>
          <w:p w14:paraId="3CEDF87B" w14:textId="77777777" w:rsidR="00DF71BE" w:rsidRPr="00B968AE" w:rsidRDefault="00DF71BE" w:rsidP="009E4E80">
            <w:pPr>
              <w:rPr>
                <w:b/>
                <w:szCs w:val="22"/>
              </w:rPr>
            </w:pPr>
            <w:r w:rsidRPr="00B968AE">
              <w:rPr>
                <w:b/>
                <w:szCs w:val="22"/>
              </w:rPr>
              <w:t>Atovaquone/proguanil</w:t>
            </w:r>
          </w:p>
          <w:p w14:paraId="1062659F" w14:textId="77777777" w:rsidR="00DF71BE" w:rsidRPr="00B968AE" w:rsidRDefault="004F5136" w:rsidP="004F5136">
            <w:pPr>
              <w:rPr>
                <w:b/>
                <w:szCs w:val="22"/>
              </w:rPr>
            </w:pPr>
            <w:r w:rsidRPr="00B968AE">
              <w:rPr>
                <w:b/>
                <w:szCs w:val="22"/>
              </w:rPr>
              <w:t xml:space="preserve">          (n=206)                                            </w:t>
            </w:r>
          </w:p>
        </w:tc>
        <w:tc>
          <w:tcPr>
            <w:tcW w:w="2952" w:type="dxa"/>
            <w:tcBorders>
              <w:bottom w:val="single" w:sz="6" w:space="0" w:color="000000"/>
            </w:tcBorders>
            <w:shd w:val="clear" w:color="auto" w:fill="auto"/>
          </w:tcPr>
          <w:p w14:paraId="29E13D8F" w14:textId="77777777" w:rsidR="00AC74D6" w:rsidRPr="00B968AE" w:rsidRDefault="00DF71BE" w:rsidP="009E4E80">
            <w:pPr>
              <w:rPr>
                <w:b/>
                <w:szCs w:val="22"/>
              </w:rPr>
            </w:pPr>
            <w:r w:rsidRPr="00B968AE">
              <w:rPr>
                <w:b/>
                <w:szCs w:val="22"/>
              </w:rPr>
              <w:t>Placebo</w:t>
            </w:r>
            <w:r w:rsidR="004F5136" w:rsidRPr="00B968AE">
              <w:rPr>
                <w:b/>
                <w:szCs w:val="22"/>
              </w:rPr>
              <w:t xml:space="preserve"> </w:t>
            </w:r>
          </w:p>
          <w:p w14:paraId="410364A6" w14:textId="77777777" w:rsidR="00DF71BE" w:rsidRPr="00B968AE" w:rsidRDefault="004F5136" w:rsidP="009E4E80">
            <w:pPr>
              <w:rPr>
                <w:b/>
                <w:szCs w:val="22"/>
              </w:rPr>
            </w:pPr>
            <w:r w:rsidRPr="00B968AE">
              <w:rPr>
                <w:b/>
                <w:szCs w:val="22"/>
              </w:rPr>
              <w:t>(n=206)</w:t>
            </w:r>
          </w:p>
        </w:tc>
      </w:tr>
      <w:tr w:rsidR="00DF71BE" w:rsidRPr="00B968AE" w14:paraId="36F5612C" w14:textId="77777777" w:rsidTr="00525325">
        <w:trPr>
          <w:trHeight w:val="273"/>
        </w:trPr>
        <w:tc>
          <w:tcPr>
            <w:tcW w:w="2952" w:type="dxa"/>
            <w:shd w:val="clear" w:color="auto" w:fill="auto"/>
          </w:tcPr>
          <w:p w14:paraId="3BF43B30" w14:textId="77777777" w:rsidR="00DF71BE" w:rsidRPr="00B968AE" w:rsidRDefault="00DF71BE" w:rsidP="009E4E80">
            <w:pPr>
              <w:rPr>
                <w:szCs w:val="22"/>
              </w:rPr>
            </w:pPr>
            <w:r w:rsidRPr="00B968AE">
              <w:rPr>
                <w:szCs w:val="22"/>
              </w:rPr>
              <w:t>Headache</w:t>
            </w:r>
          </w:p>
        </w:tc>
        <w:tc>
          <w:tcPr>
            <w:tcW w:w="2952" w:type="dxa"/>
            <w:shd w:val="clear" w:color="auto" w:fill="auto"/>
          </w:tcPr>
          <w:p w14:paraId="238F7EB3" w14:textId="77777777" w:rsidR="00DF71BE" w:rsidRPr="00B968AE" w:rsidRDefault="007A2A19" w:rsidP="009E4E80">
            <w:pPr>
              <w:rPr>
                <w:szCs w:val="22"/>
              </w:rPr>
            </w:pPr>
            <w:r w:rsidRPr="00B968AE">
              <w:rPr>
                <w:szCs w:val="22"/>
              </w:rPr>
              <w:t>22 (3)</w:t>
            </w:r>
          </w:p>
        </w:tc>
        <w:tc>
          <w:tcPr>
            <w:tcW w:w="2952" w:type="dxa"/>
            <w:shd w:val="clear" w:color="auto" w:fill="auto"/>
          </w:tcPr>
          <w:p w14:paraId="52FC5FD5" w14:textId="77777777" w:rsidR="00DF71BE" w:rsidRPr="00B968AE" w:rsidRDefault="007A2A19" w:rsidP="009E4E80">
            <w:pPr>
              <w:rPr>
                <w:szCs w:val="22"/>
              </w:rPr>
            </w:pPr>
            <w:r w:rsidRPr="00B968AE">
              <w:rPr>
                <w:szCs w:val="22"/>
              </w:rPr>
              <w:t>27 (7)</w:t>
            </w:r>
          </w:p>
        </w:tc>
      </w:tr>
      <w:tr w:rsidR="00DF71BE" w:rsidRPr="00B968AE" w14:paraId="30E0B21C" w14:textId="77777777" w:rsidTr="00525325">
        <w:tc>
          <w:tcPr>
            <w:tcW w:w="2952" w:type="dxa"/>
            <w:shd w:val="clear" w:color="auto" w:fill="auto"/>
          </w:tcPr>
          <w:p w14:paraId="7E9D92F2" w14:textId="77777777" w:rsidR="00D71CD3" w:rsidRPr="00B968AE" w:rsidRDefault="00D71CD3" w:rsidP="009E4E80">
            <w:pPr>
              <w:rPr>
                <w:szCs w:val="22"/>
              </w:rPr>
            </w:pPr>
            <w:r w:rsidRPr="00B968AE">
              <w:rPr>
                <w:szCs w:val="22"/>
              </w:rPr>
              <w:t>Abdominal pain</w:t>
            </w:r>
          </w:p>
        </w:tc>
        <w:tc>
          <w:tcPr>
            <w:tcW w:w="2952" w:type="dxa"/>
            <w:shd w:val="clear" w:color="auto" w:fill="auto"/>
          </w:tcPr>
          <w:p w14:paraId="7E1B566E" w14:textId="2614EC4B" w:rsidR="00DF71BE" w:rsidRPr="00B968AE" w:rsidRDefault="002E1E7F" w:rsidP="00D11F74">
            <w:pPr>
              <w:tabs>
                <w:tab w:val="left" w:pos="881"/>
              </w:tabs>
              <w:rPr>
                <w:szCs w:val="22"/>
              </w:rPr>
            </w:pPr>
            <w:r w:rsidRPr="00B968AE">
              <w:rPr>
                <w:szCs w:val="22"/>
              </w:rPr>
              <w:t>9 (4)</w:t>
            </w:r>
            <w:r w:rsidR="00D11F74">
              <w:rPr>
                <w:szCs w:val="22"/>
              </w:rPr>
              <w:tab/>
            </w:r>
          </w:p>
        </w:tc>
        <w:tc>
          <w:tcPr>
            <w:tcW w:w="2952" w:type="dxa"/>
            <w:shd w:val="clear" w:color="auto" w:fill="auto"/>
          </w:tcPr>
          <w:p w14:paraId="79CFB85D" w14:textId="77777777" w:rsidR="00DF71BE" w:rsidRPr="00B968AE" w:rsidRDefault="002E1E7F" w:rsidP="009E4E80">
            <w:pPr>
              <w:rPr>
                <w:szCs w:val="22"/>
              </w:rPr>
            </w:pPr>
            <w:r w:rsidRPr="00B968AE">
              <w:rPr>
                <w:szCs w:val="22"/>
              </w:rPr>
              <w:t>10 (5)</w:t>
            </w:r>
          </w:p>
        </w:tc>
      </w:tr>
      <w:tr w:rsidR="007A2A19" w:rsidRPr="00B968AE" w14:paraId="224507B5" w14:textId="77777777" w:rsidTr="00525325">
        <w:tc>
          <w:tcPr>
            <w:tcW w:w="2952" w:type="dxa"/>
            <w:shd w:val="clear" w:color="auto" w:fill="auto"/>
          </w:tcPr>
          <w:p w14:paraId="371DAC6C" w14:textId="77777777" w:rsidR="007A2A19" w:rsidRPr="00B968AE" w:rsidRDefault="007A2A19" w:rsidP="009E4E80">
            <w:pPr>
              <w:rPr>
                <w:szCs w:val="22"/>
              </w:rPr>
            </w:pPr>
            <w:r w:rsidRPr="00B968AE">
              <w:rPr>
                <w:szCs w:val="22"/>
              </w:rPr>
              <w:t>Fever</w:t>
            </w:r>
          </w:p>
        </w:tc>
        <w:tc>
          <w:tcPr>
            <w:tcW w:w="2952" w:type="dxa"/>
            <w:shd w:val="clear" w:color="auto" w:fill="auto"/>
          </w:tcPr>
          <w:p w14:paraId="086C7352" w14:textId="05B35E89" w:rsidR="007A2A19" w:rsidRPr="00B968AE" w:rsidRDefault="00C009F0" w:rsidP="009E4E80">
            <w:pPr>
              <w:rPr>
                <w:szCs w:val="22"/>
              </w:rPr>
            </w:pPr>
            <w:r>
              <w:rPr>
                <w:szCs w:val="22"/>
              </w:rPr>
              <w:t>5 (0</w:t>
            </w:r>
            <w:r w:rsidR="002E1E7F" w:rsidRPr="00B968AE">
              <w:rPr>
                <w:szCs w:val="22"/>
              </w:rPr>
              <w:t>)</w:t>
            </w:r>
          </w:p>
        </w:tc>
        <w:tc>
          <w:tcPr>
            <w:tcW w:w="2952" w:type="dxa"/>
            <w:shd w:val="clear" w:color="auto" w:fill="auto"/>
          </w:tcPr>
          <w:p w14:paraId="4390BA39" w14:textId="77777777" w:rsidR="007A2A19" w:rsidRPr="00B968AE" w:rsidRDefault="002E1E7F" w:rsidP="009E4E80">
            <w:pPr>
              <w:rPr>
                <w:szCs w:val="22"/>
              </w:rPr>
            </w:pPr>
            <w:r w:rsidRPr="00B968AE">
              <w:rPr>
                <w:szCs w:val="22"/>
              </w:rPr>
              <w:t>13 (1)</w:t>
            </w:r>
          </w:p>
        </w:tc>
      </w:tr>
      <w:tr w:rsidR="00DF71BE" w:rsidRPr="00B968AE" w14:paraId="7F349291" w14:textId="77777777" w:rsidTr="00525325">
        <w:tc>
          <w:tcPr>
            <w:tcW w:w="2952" w:type="dxa"/>
            <w:shd w:val="clear" w:color="auto" w:fill="auto"/>
          </w:tcPr>
          <w:p w14:paraId="4D456CEA" w14:textId="77777777" w:rsidR="00DF71BE" w:rsidRPr="00B968AE" w:rsidRDefault="00D71CD3" w:rsidP="009E4E80">
            <w:pPr>
              <w:rPr>
                <w:szCs w:val="22"/>
              </w:rPr>
            </w:pPr>
            <w:r w:rsidRPr="00B968AE">
              <w:rPr>
                <w:szCs w:val="22"/>
              </w:rPr>
              <w:t>Diarrhea</w:t>
            </w:r>
          </w:p>
        </w:tc>
        <w:tc>
          <w:tcPr>
            <w:tcW w:w="2952" w:type="dxa"/>
            <w:shd w:val="clear" w:color="auto" w:fill="auto"/>
          </w:tcPr>
          <w:p w14:paraId="7B7035C1" w14:textId="77777777" w:rsidR="00DF71BE" w:rsidRPr="00B968AE" w:rsidRDefault="002E1E7F" w:rsidP="009E4E80">
            <w:pPr>
              <w:rPr>
                <w:szCs w:val="22"/>
              </w:rPr>
            </w:pPr>
            <w:r w:rsidRPr="00B968AE">
              <w:rPr>
                <w:szCs w:val="22"/>
              </w:rPr>
              <w:t>6 (2)</w:t>
            </w:r>
          </w:p>
        </w:tc>
        <w:tc>
          <w:tcPr>
            <w:tcW w:w="2952" w:type="dxa"/>
            <w:shd w:val="clear" w:color="auto" w:fill="auto"/>
          </w:tcPr>
          <w:p w14:paraId="1ACB2AC5" w14:textId="77777777" w:rsidR="00DF71BE" w:rsidRPr="00B968AE" w:rsidRDefault="002E1E7F" w:rsidP="009E4E80">
            <w:pPr>
              <w:rPr>
                <w:szCs w:val="22"/>
              </w:rPr>
            </w:pPr>
            <w:r w:rsidRPr="00B968AE">
              <w:rPr>
                <w:szCs w:val="22"/>
              </w:rPr>
              <w:t>8 (3)</w:t>
            </w:r>
          </w:p>
        </w:tc>
      </w:tr>
      <w:tr w:rsidR="00DF71BE" w:rsidRPr="00B968AE" w14:paraId="27D6598B" w14:textId="77777777" w:rsidTr="00525325">
        <w:tc>
          <w:tcPr>
            <w:tcW w:w="2952" w:type="dxa"/>
            <w:shd w:val="clear" w:color="auto" w:fill="auto"/>
          </w:tcPr>
          <w:p w14:paraId="1EE7BE10" w14:textId="56AA5632" w:rsidR="00DF71BE" w:rsidRPr="00B968AE" w:rsidRDefault="00CB1B2C" w:rsidP="009E4E80">
            <w:pPr>
              <w:rPr>
                <w:szCs w:val="22"/>
              </w:rPr>
            </w:pPr>
            <w:r w:rsidRPr="00B968AE">
              <w:rPr>
                <w:szCs w:val="22"/>
              </w:rPr>
              <w:t>Dyspepsia</w:t>
            </w:r>
          </w:p>
        </w:tc>
        <w:tc>
          <w:tcPr>
            <w:tcW w:w="2952" w:type="dxa"/>
            <w:shd w:val="clear" w:color="auto" w:fill="auto"/>
          </w:tcPr>
          <w:p w14:paraId="3B73292E" w14:textId="77777777" w:rsidR="00DF71BE" w:rsidRPr="00B968AE" w:rsidRDefault="002E1E7F" w:rsidP="009E4E80">
            <w:pPr>
              <w:rPr>
                <w:szCs w:val="22"/>
              </w:rPr>
            </w:pPr>
            <w:r w:rsidRPr="00B968AE">
              <w:rPr>
                <w:szCs w:val="22"/>
              </w:rPr>
              <w:t>3 (2)</w:t>
            </w:r>
          </w:p>
        </w:tc>
        <w:tc>
          <w:tcPr>
            <w:tcW w:w="2952" w:type="dxa"/>
            <w:shd w:val="clear" w:color="auto" w:fill="auto"/>
          </w:tcPr>
          <w:p w14:paraId="4BFF9A7C" w14:textId="77777777" w:rsidR="00DF71BE" w:rsidRPr="00B968AE" w:rsidRDefault="002E1E7F" w:rsidP="009E4E80">
            <w:pPr>
              <w:rPr>
                <w:szCs w:val="22"/>
              </w:rPr>
            </w:pPr>
            <w:r w:rsidRPr="00B968AE">
              <w:rPr>
                <w:szCs w:val="22"/>
              </w:rPr>
              <w:t>5 (4)</w:t>
            </w:r>
          </w:p>
        </w:tc>
      </w:tr>
      <w:tr w:rsidR="00DF71BE" w:rsidRPr="00B968AE" w14:paraId="33A24ADD" w14:textId="77777777" w:rsidTr="00525325">
        <w:tc>
          <w:tcPr>
            <w:tcW w:w="2952" w:type="dxa"/>
            <w:shd w:val="clear" w:color="auto" w:fill="auto"/>
          </w:tcPr>
          <w:p w14:paraId="653602CF" w14:textId="77777777" w:rsidR="00DF71BE" w:rsidRPr="00B968AE" w:rsidRDefault="00D71CD3" w:rsidP="009E4E80">
            <w:pPr>
              <w:rPr>
                <w:szCs w:val="22"/>
              </w:rPr>
            </w:pPr>
            <w:r w:rsidRPr="00B968AE">
              <w:rPr>
                <w:szCs w:val="22"/>
              </w:rPr>
              <w:t>Gastritis</w:t>
            </w:r>
          </w:p>
        </w:tc>
        <w:tc>
          <w:tcPr>
            <w:tcW w:w="2952" w:type="dxa"/>
            <w:shd w:val="clear" w:color="auto" w:fill="auto"/>
          </w:tcPr>
          <w:p w14:paraId="6416ACD1" w14:textId="77777777" w:rsidR="00DF71BE" w:rsidRPr="00B968AE" w:rsidRDefault="002E1E7F" w:rsidP="009E4E80">
            <w:pPr>
              <w:rPr>
                <w:szCs w:val="22"/>
              </w:rPr>
            </w:pPr>
            <w:r w:rsidRPr="00B968AE">
              <w:rPr>
                <w:szCs w:val="22"/>
              </w:rPr>
              <w:t>3 (3)</w:t>
            </w:r>
          </w:p>
        </w:tc>
        <w:tc>
          <w:tcPr>
            <w:tcW w:w="2952" w:type="dxa"/>
            <w:shd w:val="clear" w:color="auto" w:fill="auto"/>
          </w:tcPr>
          <w:p w14:paraId="54F0C429" w14:textId="77777777" w:rsidR="00DF71BE" w:rsidRPr="00B968AE" w:rsidRDefault="002E1E7F" w:rsidP="009E4E80">
            <w:pPr>
              <w:rPr>
                <w:szCs w:val="22"/>
              </w:rPr>
            </w:pPr>
            <w:r w:rsidRPr="00B968AE">
              <w:rPr>
                <w:szCs w:val="22"/>
              </w:rPr>
              <w:t>3 (2)</w:t>
            </w:r>
          </w:p>
        </w:tc>
      </w:tr>
      <w:tr w:rsidR="00DF71BE" w:rsidRPr="00B968AE" w14:paraId="35FB22DF" w14:textId="77777777" w:rsidTr="00525325">
        <w:trPr>
          <w:trHeight w:val="70"/>
        </w:trPr>
        <w:tc>
          <w:tcPr>
            <w:tcW w:w="2952" w:type="dxa"/>
            <w:shd w:val="clear" w:color="auto" w:fill="auto"/>
          </w:tcPr>
          <w:p w14:paraId="741EBE53" w14:textId="77777777" w:rsidR="007A2A19" w:rsidRPr="00B968AE" w:rsidRDefault="007A2A19" w:rsidP="009E4E80">
            <w:pPr>
              <w:rPr>
                <w:szCs w:val="22"/>
              </w:rPr>
            </w:pPr>
            <w:r w:rsidRPr="00B968AE">
              <w:rPr>
                <w:szCs w:val="22"/>
              </w:rPr>
              <w:t>Cough</w:t>
            </w:r>
          </w:p>
        </w:tc>
        <w:tc>
          <w:tcPr>
            <w:tcW w:w="2952" w:type="dxa"/>
            <w:shd w:val="clear" w:color="auto" w:fill="auto"/>
          </w:tcPr>
          <w:p w14:paraId="5A785F47" w14:textId="77777777" w:rsidR="00DF71BE" w:rsidRPr="00B968AE" w:rsidRDefault="002E1E7F" w:rsidP="009E4E80">
            <w:pPr>
              <w:rPr>
                <w:szCs w:val="22"/>
              </w:rPr>
            </w:pPr>
            <w:r w:rsidRPr="00B968AE">
              <w:rPr>
                <w:szCs w:val="22"/>
              </w:rPr>
              <w:t>6 (&lt; 1)</w:t>
            </w:r>
          </w:p>
        </w:tc>
        <w:tc>
          <w:tcPr>
            <w:tcW w:w="2952" w:type="dxa"/>
            <w:shd w:val="clear" w:color="auto" w:fill="auto"/>
          </w:tcPr>
          <w:p w14:paraId="56EBFAA3" w14:textId="77777777" w:rsidR="00DF71BE" w:rsidRPr="00B968AE" w:rsidRDefault="002E1E7F" w:rsidP="009E4E80">
            <w:pPr>
              <w:rPr>
                <w:szCs w:val="22"/>
              </w:rPr>
            </w:pPr>
            <w:r w:rsidRPr="00B968AE">
              <w:rPr>
                <w:szCs w:val="22"/>
              </w:rPr>
              <w:t>8 (&lt;1)</w:t>
            </w:r>
          </w:p>
        </w:tc>
      </w:tr>
    </w:tbl>
    <w:p w14:paraId="7E758ED0" w14:textId="043E6535" w:rsidR="002A74BA" w:rsidRDefault="00FA0674" w:rsidP="002A74BA">
      <w:pPr>
        <w:rPr>
          <w:szCs w:val="22"/>
        </w:rPr>
      </w:pPr>
      <w:proofErr w:type="spellStart"/>
      <w:proofErr w:type="gramStart"/>
      <w:r w:rsidRPr="00FA0674">
        <w:rPr>
          <w:szCs w:val="22"/>
          <w:vertAlign w:val="superscript"/>
        </w:rPr>
        <w:t>a</w:t>
      </w:r>
      <w:r w:rsidRPr="00FA0674">
        <w:rPr>
          <w:szCs w:val="22"/>
        </w:rPr>
        <w:t>Percent</w:t>
      </w:r>
      <w:proofErr w:type="spellEnd"/>
      <w:proofErr w:type="gramEnd"/>
      <w:r w:rsidRPr="00FA0674">
        <w:rPr>
          <w:szCs w:val="22"/>
        </w:rPr>
        <w:t xml:space="preserve"> of subjects with adverse experiences (percent of subjects with adverse experiences attributable to therapy)</w:t>
      </w:r>
    </w:p>
    <w:p w14:paraId="0E3EB370" w14:textId="77777777" w:rsidR="002A74BA" w:rsidRPr="00B968AE" w:rsidRDefault="002A74BA" w:rsidP="002A74BA">
      <w:pPr>
        <w:rPr>
          <w:szCs w:val="22"/>
        </w:rPr>
      </w:pPr>
    </w:p>
    <w:p w14:paraId="16769A8B" w14:textId="5989279E" w:rsidR="002A74BA" w:rsidRPr="00B968AE" w:rsidRDefault="000C4F35" w:rsidP="002A74BA">
      <w:pPr>
        <w:rPr>
          <w:b/>
          <w:szCs w:val="22"/>
        </w:rPr>
      </w:pPr>
      <w:r w:rsidRPr="00B968AE">
        <w:rPr>
          <w:b/>
          <w:szCs w:val="22"/>
        </w:rPr>
        <w:t xml:space="preserve">Table </w:t>
      </w:r>
      <w:r w:rsidR="00660077" w:rsidRPr="00B968AE">
        <w:rPr>
          <w:b/>
          <w:szCs w:val="22"/>
        </w:rPr>
        <w:t>5</w:t>
      </w:r>
      <w:r w:rsidR="002A74BA" w:rsidRPr="00B968AE">
        <w:rPr>
          <w:b/>
          <w:szCs w:val="22"/>
        </w:rPr>
        <w:t xml:space="preserve">: Adverse events </w:t>
      </w:r>
      <w:r w:rsidR="00A54168">
        <w:rPr>
          <w:b/>
          <w:szCs w:val="22"/>
        </w:rPr>
        <w:t xml:space="preserve">occurring of adults patients in clinical </w:t>
      </w:r>
      <w:r w:rsidR="002A74BA" w:rsidRPr="00B968AE">
        <w:rPr>
          <w:b/>
          <w:szCs w:val="22"/>
        </w:rPr>
        <w:t>trials for prophylaxis of malaria</w:t>
      </w:r>
    </w:p>
    <w:tbl>
      <w:tblPr>
        <w:tblW w:w="8838" w:type="dxa"/>
        <w:tblBorders>
          <w:top w:val="single" w:sz="12" w:space="0" w:color="000000"/>
          <w:bottom w:val="single" w:sz="12" w:space="0" w:color="000000"/>
        </w:tblBorders>
        <w:tblLayout w:type="fixed"/>
        <w:tblLook w:val="04A0" w:firstRow="1" w:lastRow="0" w:firstColumn="1" w:lastColumn="0" w:noHBand="0" w:noVBand="1"/>
      </w:tblPr>
      <w:tblGrid>
        <w:gridCol w:w="2316"/>
        <w:gridCol w:w="1572"/>
        <w:gridCol w:w="1530"/>
        <w:gridCol w:w="1710"/>
        <w:gridCol w:w="1710"/>
      </w:tblGrid>
      <w:tr w:rsidR="00D24115" w:rsidRPr="00B968AE" w14:paraId="3E93C5C6" w14:textId="77777777" w:rsidTr="00660077">
        <w:tc>
          <w:tcPr>
            <w:tcW w:w="2316" w:type="dxa"/>
            <w:vMerge w:val="restart"/>
            <w:tcBorders>
              <w:bottom w:val="single" w:sz="6" w:space="0" w:color="000000"/>
            </w:tcBorders>
            <w:shd w:val="clear" w:color="auto" w:fill="auto"/>
          </w:tcPr>
          <w:p w14:paraId="5F138B94" w14:textId="77777777" w:rsidR="00D24115" w:rsidRPr="00B968AE" w:rsidRDefault="00D24115" w:rsidP="006D2EA0">
            <w:pPr>
              <w:jc w:val="center"/>
              <w:rPr>
                <w:b/>
                <w:szCs w:val="22"/>
              </w:rPr>
            </w:pPr>
          </w:p>
          <w:p w14:paraId="0BDE98BE" w14:textId="13E554B0" w:rsidR="00D24115" w:rsidRPr="00B968AE" w:rsidRDefault="00D24115" w:rsidP="006D2EA0">
            <w:pPr>
              <w:jc w:val="center"/>
              <w:rPr>
                <w:b/>
                <w:szCs w:val="22"/>
              </w:rPr>
            </w:pPr>
            <w:r w:rsidRPr="00B968AE">
              <w:rPr>
                <w:b/>
                <w:szCs w:val="22"/>
              </w:rPr>
              <w:t xml:space="preserve">Adverse </w:t>
            </w:r>
            <w:proofErr w:type="spellStart"/>
            <w:r w:rsidRPr="00B968AE">
              <w:rPr>
                <w:b/>
                <w:szCs w:val="22"/>
              </w:rPr>
              <w:t>event</w:t>
            </w:r>
            <w:r w:rsidR="002D41E3" w:rsidRPr="002D41E3">
              <w:rPr>
                <w:b/>
                <w:szCs w:val="22"/>
                <w:vertAlign w:val="superscript"/>
              </w:rPr>
              <w:t>a</w:t>
            </w:r>
            <w:proofErr w:type="spellEnd"/>
          </w:p>
        </w:tc>
        <w:tc>
          <w:tcPr>
            <w:tcW w:w="3102" w:type="dxa"/>
            <w:gridSpan w:val="2"/>
            <w:tcBorders>
              <w:top w:val="single" w:sz="12" w:space="0" w:color="000000"/>
              <w:bottom w:val="single" w:sz="4" w:space="0" w:color="auto"/>
            </w:tcBorders>
            <w:shd w:val="clear" w:color="auto" w:fill="auto"/>
          </w:tcPr>
          <w:p w14:paraId="75965AAE" w14:textId="77777777" w:rsidR="00D24115" w:rsidRPr="00B968AE" w:rsidRDefault="00D24115" w:rsidP="006D2EA0">
            <w:pPr>
              <w:jc w:val="center"/>
              <w:rPr>
                <w:b/>
                <w:szCs w:val="22"/>
              </w:rPr>
            </w:pPr>
            <w:r w:rsidRPr="00B968AE">
              <w:rPr>
                <w:b/>
                <w:szCs w:val="22"/>
              </w:rPr>
              <w:t>Study 1</w:t>
            </w:r>
          </w:p>
        </w:tc>
        <w:tc>
          <w:tcPr>
            <w:tcW w:w="3420" w:type="dxa"/>
            <w:gridSpan w:val="2"/>
            <w:tcBorders>
              <w:top w:val="single" w:sz="12" w:space="0" w:color="000000"/>
              <w:bottom w:val="single" w:sz="4" w:space="0" w:color="auto"/>
            </w:tcBorders>
            <w:shd w:val="clear" w:color="auto" w:fill="auto"/>
          </w:tcPr>
          <w:p w14:paraId="2421C51E" w14:textId="77777777" w:rsidR="00D24115" w:rsidRPr="00B968AE" w:rsidRDefault="00D24115" w:rsidP="006D2EA0">
            <w:pPr>
              <w:jc w:val="center"/>
              <w:rPr>
                <w:b/>
                <w:szCs w:val="22"/>
              </w:rPr>
            </w:pPr>
            <w:r w:rsidRPr="00B968AE">
              <w:rPr>
                <w:b/>
                <w:szCs w:val="22"/>
              </w:rPr>
              <w:t>Study 2</w:t>
            </w:r>
          </w:p>
        </w:tc>
      </w:tr>
      <w:tr w:rsidR="00D24115" w:rsidRPr="00B968AE" w14:paraId="0B7AE29A" w14:textId="77777777" w:rsidTr="00660077">
        <w:tc>
          <w:tcPr>
            <w:tcW w:w="2316" w:type="dxa"/>
            <w:vMerge/>
            <w:shd w:val="clear" w:color="auto" w:fill="auto"/>
          </w:tcPr>
          <w:p w14:paraId="46170769" w14:textId="77777777" w:rsidR="00D24115" w:rsidRPr="00B968AE" w:rsidRDefault="00D24115" w:rsidP="00525325">
            <w:pPr>
              <w:rPr>
                <w:b/>
                <w:szCs w:val="22"/>
              </w:rPr>
            </w:pPr>
          </w:p>
        </w:tc>
        <w:tc>
          <w:tcPr>
            <w:tcW w:w="1572" w:type="dxa"/>
            <w:tcBorders>
              <w:top w:val="single" w:sz="4" w:space="0" w:color="auto"/>
              <w:bottom w:val="single" w:sz="4" w:space="0" w:color="auto"/>
            </w:tcBorders>
            <w:shd w:val="clear" w:color="auto" w:fill="auto"/>
          </w:tcPr>
          <w:p w14:paraId="7C840FBF" w14:textId="77777777" w:rsidR="007C5252" w:rsidRPr="00B968AE" w:rsidRDefault="00D24115" w:rsidP="00525325">
            <w:pPr>
              <w:rPr>
                <w:b/>
                <w:szCs w:val="22"/>
              </w:rPr>
            </w:pPr>
            <w:r w:rsidRPr="00B968AE">
              <w:rPr>
                <w:b/>
                <w:szCs w:val="22"/>
              </w:rPr>
              <w:t>Atovaquone/</w:t>
            </w:r>
          </w:p>
          <w:p w14:paraId="715D12F6" w14:textId="77777777" w:rsidR="00D24115" w:rsidRPr="00B968AE" w:rsidRDefault="00D24115" w:rsidP="00525325">
            <w:pPr>
              <w:rPr>
                <w:b/>
                <w:szCs w:val="22"/>
              </w:rPr>
            </w:pPr>
            <w:r w:rsidRPr="00B968AE">
              <w:rPr>
                <w:b/>
                <w:szCs w:val="22"/>
              </w:rPr>
              <w:t>proguanil</w:t>
            </w:r>
          </w:p>
          <w:p w14:paraId="1AAD5BE2" w14:textId="77777777" w:rsidR="00D24115" w:rsidRPr="00B968AE" w:rsidRDefault="00EC6ACD" w:rsidP="00D24115">
            <w:pPr>
              <w:rPr>
                <w:b/>
                <w:szCs w:val="22"/>
              </w:rPr>
            </w:pPr>
            <w:r w:rsidRPr="00B968AE">
              <w:rPr>
                <w:b/>
                <w:szCs w:val="22"/>
              </w:rPr>
              <w:t>(n=493)</w:t>
            </w:r>
          </w:p>
        </w:tc>
        <w:tc>
          <w:tcPr>
            <w:tcW w:w="1530" w:type="dxa"/>
            <w:tcBorders>
              <w:top w:val="single" w:sz="4" w:space="0" w:color="auto"/>
              <w:bottom w:val="single" w:sz="4" w:space="0" w:color="auto"/>
            </w:tcBorders>
            <w:shd w:val="clear" w:color="auto" w:fill="auto"/>
          </w:tcPr>
          <w:p w14:paraId="07AAB1F7" w14:textId="77777777" w:rsidR="00D24115" w:rsidRPr="00B968AE" w:rsidRDefault="00D24115" w:rsidP="00525325">
            <w:pPr>
              <w:rPr>
                <w:b/>
                <w:szCs w:val="22"/>
              </w:rPr>
            </w:pPr>
            <w:r w:rsidRPr="00B968AE">
              <w:rPr>
                <w:b/>
                <w:szCs w:val="22"/>
              </w:rPr>
              <w:t>Mefloquine</w:t>
            </w:r>
          </w:p>
          <w:p w14:paraId="3A7A016F" w14:textId="77777777" w:rsidR="00D24115" w:rsidRPr="00B968AE" w:rsidRDefault="00EC6ACD" w:rsidP="00D24115">
            <w:pPr>
              <w:rPr>
                <w:b/>
                <w:szCs w:val="22"/>
              </w:rPr>
            </w:pPr>
            <w:r w:rsidRPr="00B968AE">
              <w:rPr>
                <w:b/>
                <w:szCs w:val="22"/>
              </w:rPr>
              <w:t>(n=483)</w:t>
            </w:r>
          </w:p>
        </w:tc>
        <w:tc>
          <w:tcPr>
            <w:tcW w:w="1710" w:type="dxa"/>
            <w:tcBorders>
              <w:top w:val="single" w:sz="4" w:space="0" w:color="auto"/>
              <w:bottom w:val="single" w:sz="4" w:space="0" w:color="auto"/>
            </w:tcBorders>
            <w:shd w:val="clear" w:color="auto" w:fill="auto"/>
          </w:tcPr>
          <w:p w14:paraId="7595DBB5" w14:textId="77777777" w:rsidR="00D24115" w:rsidRPr="00B968AE" w:rsidRDefault="00D24115" w:rsidP="00525325">
            <w:pPr>
              <w:rPr>
                <w:b/>
                <w:szCs w:val="22"/>
              </w:rPr>
            </w:pPr>
            <w:r w:rsidRPr="00B968AE">
              <w:rPr>
                <w:b/>
                <w:szCs w:val="22"/>
              </w:rPr>
              <w:t>Atovaquone/</w:t>
            </w:r>
          </w:p>
          <w:p w14:paraId="111AAD89" w14:textId="77777777" w:rsidR="00D24115" w:rsidRPr="00B968AE" w:rsidRDefault="00D24115" w:rsidP="00525325">
            <w:pPr>
              <w:rPr>
                <w:b/>
                <w:szCs w:val="22"/>
              </w:rPr>
            </w:pPr>
            <w:r w:rsidRPr="00B968AE">
              <w:rPr>
                <w:b/>
                <w:szCs w:val="22"/>
              </w:rPr>
              <w:t>proguanil</w:t>
            </w:r>
          </w:p>
          <w:p w14:paraId="47802122" w14:textId="77777777" w:rsidR="00D24115" w:rsidRPr="00B968AE" w:rsidRDefault="00EC6ACD" w:rsidP="00D24115">
            <w:pPr>
              <w:rPr>
                <w:b/>
                <w:szCs w:val="22"/>
              </w:rPr>
            </w:pPr>
            <w:r w:rsidRPr="00B968AE">
              <w:rPr>
                <w:b/>
                <w:szCs w:val="22"/>
              </w:rPr>
              <w:t>(n=511)</w:t>
            </w:r>
          </w:p>
        </w:tc>
        <w:tc>
          <w:tcPr>
            <w:tcW w:w="1710" w:type="dxa"/>
            <w:tcBorders>
              <w:top w:val="single" w:sz="4" w:space="0" w:color="auto"/>
              <w:bottom w:val="single" w:sz="4" w:space="0" w:color="auto"/>
            </w:tcBorders>
            <w:shd w:val="clear" w:color="auto" w:fill="auto"/>
          </w:tcPr>
          <w:p w14:paraId="1983F051" w14:textId="5F418B4A" w:rsidR="00D24115" w:rsidRPr="00B968AE" w:rsidRDefault="00D24115" w:rsidP="00D24115">
            <w:pPr>
              <w:rPr>
                <w:b/>
                <w:szCs w:val="22"/>
              </w:rPr>
            </w:pPr>
            <w:r w:rsidRPr="00B968AE">
              <w:rPr>
                <w:b/>
                <w:szCs w:val="22"/>
              </w:rPr>
              <w:t>Chl</w:t>
            </w:r>
            <w:r w:rsidR="00660077" w:rsidRPr="00B968AE">
              <w:rPr>
                <w:b/>
                <w:szCs w:val="22"/>
              </w:rPr>
              <w:t>o</w:t>
            </w:r>
            <w:r w:rsidRPr="00B968AE">
              <w:rPr>
                <w:b/>
                <w:szCs w:val="22"/>
              </w:rPr>
              <w:t>roquine/</w:t>
            </w:r>
          </w:p>
          <w:p w14:paraId="75A71A88" w14:textId="77777777" w:rsidR="00D24115" w:rsidRPr="00B968AE" w:rsidRDefault="00D24115" w:rsidP="00D24115">
            <w:pPr>
              <w:rPr>
                <w:b/>
                <w:szCs w:val="22"/>
              </w:rPr>
            </w:pPr>
            <w:r w:rsidRPr="00B968AE">
              <w:rPr>
                <w:b/>
                <w:szCs w:val="22"/>
              </w:rPr>
              <w:t>Proguanil</w:t>
            </w:r>
          </w:p>
          <w:p w14:paraId="26B1BBB5" w14:textId="77777777" w:rsidR="00EC6ACD" w:rsidRPr="00B968AE" w:rsidRDefault="00EC6ACD" w:rsidP="00D24115">
            <w:pPr>
              <w:rPr>
                <w:b/>
                <w:szCs w:val="22"/>
              </w:rPr>
            </w:pPr>
            <w:r w:rsidRPr="00B968AE">
              <w:rPr>
                <w:b/>
                <w:szCs w:val="22"/>
              </w:rPr>
              <w:t>(n=511)</w:t>
            </w:r>
          </w:p>
        </w:tc>
      </w:tr>
      <w:tr w:rsidR="00D24115" w:rsidRPr="00B968AE" w14:paraId="284B32E2" w14:textId="77777777" w:rsidTr="00525325">
        <w:tc>
          <w:tcPr>
            <w:tcW w:w="2316" w:type="dxa"/>
            <w:shd w:val="clear" w:color="auto" w:fill="auto"/>
          </w:tcPr>
          <w:p w14:paraId="0453EB3E" w14:textId="77777777" w:rsidR="00D24115" w:rsidRPr="00B968AE" w:rsidRDefault="00D24115" w:rsidP="00525325">
            <w:pPr>
              <w:rPr>
                <w:szCs w:val="22"/>
              </w:rPr>
            </w:pPr>
            <w:r w:rsidRPr="00B968AE">
              <w:rPr>
                <w:szCs w:val="22"/>
              </w:rPr>
              <w:t>Diarrhea</w:t>
            </w:r>
          </w:p>
        </w:tc>
        <w:tc>
          <w:tcPr>
            <w:tcW w:w="1572" w:type="dxa"/>
            <w:tcBorders>
              <w:top w:val="single" w:sz="4" w:space="0" w:color="auto"/>
            </w:tcBorders>
            <w:shd w:val="clear" w:color="auto" w:fill="auto"/>
          </w:tcPr>
          <w:p w14:paraId="22744CF7" w14:textId="77777777" w:rsidR="00D24115" w:rsidRPr="00B968AE" w:rsidRDefault="007C5252" w:rsidP="00525325">
            <w:pPr>
              <w:rPr>
                <w:szCs w:val="22"/>
              </w:rPr>
            </w:pPr>
            <w:r w:rsidRPr="00B968AE">
              <w:rPr>
                <w:szCs w:val="22"/>
              </w:rPr>
              <w:t>38 (8)</w:t>
            </w:r>
          </w:p>
        </w:tc>
        <w:tc>
          <w:tcPr>
            <w:tcW w:w="1530" w:type="dxa"/>
            <w:tcBorders>
              <w:top w:val="single" w:sz="4" w:space="0" w:color="auto"/>
            </w:tcBorders>
            <w:shd w:val="clear" w:color="auto" w:fill="auto"/>
          </w:tcPr>
          <w:p w14:paraId="62B97659" w14:textId="77777777" w:rsidR="00D24115" w:rsidRPr="00B968AE" w:rsidRDefault="007C5252" w:rsidP="00525325">
            <w:pPr>
              <w:rPr>
                <w:szCs w:val="22"/>
              </w:rPr>
            </w:pPr>
            <w:r w:rsidRPr="00B968AE">
              <w:rPr>
                <w:szCs w:val="22"/>
              </w:rPr>
              <w:t>36 (7)</w:t>
            </w:r>
          </w:p>
        </w:tc>
        <w:tc>
          <w:tcPr>
            <w:tcW w:w="1710" w:type="dxa"/>
            <w:tcBorders>
              <w:top w:val="single" w:sz="4" w:space="0" w:color="auto"/>
            </w:tcBorders>
            <w:shd w:val="clear" w:color="auto" w:fill="auto"/>
          </w:tcPr>
          <w:p w14:paraId="7FFE0D45" w14:textId="77777777" w:rsidR="00D24115" w:rsidRPr="00B968AE" w:rsidRDefault="007C5252" w:rsidP="00525325">
            <w:pPr>
              <w:rPr>
                <w:szCs w:val="22"/>
              </w:rPr>
            </w:pPr>
            <w:r w:rsidRPr="00B968AE">
              <w:rPr>
                <w:szCs w:val="22"/>
              </w:rPr>
              <w:t>34 (5)</w:t>
            </w:r>
          </w:p>
        </w:tc>
        <w:tc>
          <w:tcPr>
            <w:tcW w:w="1710" w:type="dxa"/>
            <w:tcBorders>
              <w:top w:val="single" w:sz="4" w:space="0" w:color="auto"/>
            </w:tcBorders>
            <w:shd w:val="clear" w:color="auto" w:fill="auto"/>
          </w:tcPr>
          <w:p w14:paraId="50500135" w14:textId="77777777" w:rsidR="00D24115" w:rsidRPr="00B968AE" w:rsidRDefault="007C5252" w:rsidP="00525325">
            <w:pPr>
              <w:rPr>
                <w:szCs w:val="22"/>
              </w:rPr>
            </w:pPr>
            <w:r w:rsidRPr="00B968AE">
              <w:rPr>
                <w:szCs w:val="22"/>
              </w:rPr>
              <w:t>39 (7)</w:t>
            </w:r>
          </w:p>
        </w:tc>
      </w:tr>
      <w:tr w:rsidR="00D24115" w:rsidRPr="00B968AE" w14:paraId="5BE188D4" w14:textId="77777777" w:rsidTr="00525325">
        <w:trPr>
          <w:trHeight w:val="70"/>
        </w:trPr>
        <w:tc>
          <w:tcPr>
            <w:tcW w:w="2316" w:type="dxa"/>
            <w:shd w:val="clear" w:color="auto" w:fill="auto"/>
          </w:tcPr>
          <w:p w14:paraId="67EBDFC4" w14:textId="77777777" w:rsidR="00D24115" w:rsidRPr="00B968AE" w:rsidRDefault="007C5252" w:rsidP="00CB030E">
            <w:pPr>
              <w:rPr>
                <w:szCs w:val="22"/>
              </w:rPr>
            </w:pPr>
            <w:r w:rsidRPr="00B968AE">
              <w:rPr>
                <w:szCs w:val="22"/>
              </w:rPr>
              <w:t>Nausea</w:t>
            </w:r>
          </w:p>
        </w:tc>
        <w:tc>
          <w:tcPr>
            <w:tcW w:w="1572" w:type="dxa"/>
            <w:shd w:val="clear" w:color="auto" w:fill="auto"/>
          </w:tcPr>
          <w:p w14:paraId="5EF44FF9" w14:textId="77777777" w:rsidR="00D24115" w:rsidRPr="00B968AE" w:rsidRDefault="00001661" w:rsidP="00525325">
            <w:pPr>
              <w:rPr>
                <w:szCs w:val="22"/>
              </w:rPr>
            </w:pPr>
            <w:r w:rsidRPr="00B968AE">
              <w:rPr>
                <w:szCs w:val="22"/>
              </w:rPr>
              <w:t>14 (3)</w:t>
            </w:r>
          </w:p>
        </w:tc>
        <w:tc>
          <w:tcPr>
            <w:tcW w:w="1530" w:type="dxa"/>
            <w:shd w:val="clear" w:color="auto" w:fill="auto"/>
          </w:tcPr>
          <w:p w14:paraId="5DACE144" w14:textId="77777777" w:rsidR="00D24115" w:rsidRPr="00B968AE" w:rsidRDefault="00001661" w:rsidP="00525325">
            <w:pPr>
              <w:rPr>
                <w:szCs w:val="22"/>
              </w:rPr>
            </w:pPr>
            <w:r w:rsidRPr="00B968AE">
              <w:rPr>
                <w:szCs w:val="22"/>
              </w:rPr>
              <w:t>20 (8)</w:t>
            </w:r>
          </w:p>
        </w:tc>
        <w:tc>
          <w:tcPr>
            <w:tcW w:w="1710" w:type="dxa"/>
            <w:shd w:val="clear" w:color="auto" w:fill="auto"/>
          </w:tcPr>
          <w:p w14:paraId="4C4AD76D" w14:textId="77777777" w:rsidR="00D24115" w:rsidRPr="00B968AE" w:rsidRDefault="00001661" w:rsidP="007C5252">
            <w:pPr>
              <w:rPr>
                <w:szCs w:val="22"/>
              </w:rPr>
            </w:pPr>
            <w:r w:rsidRPr="00B968AE">
              <w:rPr>
                <w:szCs w:val="22"/>
              </w:rPr>
              <w:t>11 (2)</w:t>
            </w:r>
          </w:p>
        </w:tc>
        <w:tc>
          <w:tcPr>
            <w:tcW w:w="1710" w:type="dxa"/>
            <w:shd w:val="clear" w:color="auto" w:fill="auto"/>
          </w:tcPr>
          <w:p w14:paraId="6E3755C0" w14:textId="77777777" w:rsidR="00D24115" w:rsidRPr="00B968AE" w:rsidRDefault="00001661" w:rsidP="00525325">
            <w:pPr>
              <w:rPr>
                <w:szCs w:val="22"/>
              </w:rPr>
            </w:pPr>
            <w:r w:rsidRPr="00B968AE">
              <w:rPr>
                <w:szCs w:val="22"/>
              </w:rPr>
              <w:t>18 (7)</w:t>
            </w:r>
          </w:p>
        </w:tc>
      </w:tr>
      <w:tr w:rsidR="007C5252" w:rsidRPr="00B968AE" w14:paraId="2B171AE4" w14:textId="77777777" w:rsidTr="00525325">
        <w:trPr>
          <w:trHeight w:val="70"/>
        </w:trPr>
        <w:tc>
          <w:tcPr>
            <w:tcW w:w="2316" w:type="dxa"/>
            <w:shd w:val="clear" w:color="auto" w:fill="auto"/>
          </w:tcPr>
          <w:p w14:paraId="764B2460" w14:textId="77777777" w:rsidR="007C5252" w:rsidRPr="00B968AE" w:rsidRDefault="007C5252" w:rsidP="00CB030E">
            <w:pPr>
              <w:rPr>
                <w:szCs w:val="22"/>
              </w:rPr>
            </w:pPr>
            <w:r w:rsidRPr="00B968AE">
              <w:rPr>
                <w:szCs w:val="22"/>
              </w:rPr>
              <w:t xml:space="preserve">Abdominal pain </w:t>
            </w:r>
          </w:p>
        </w:tc>
        <w:tc>
          <w:tcPr>
            <w:tcW w:w="1572" w:type="dxa"/>
            <w:shd w:val="clear" w:color="auto" w:fill="auto"/>
          </w:tcPr>
          <w:p w14:paraId="3BBF5E47" w14:textId="77777777" w:rsidR="007C5252" w:rsidRPr="00A54168" w:rsidRDefault="00001661" w:rsidP="00525325">
            <w:pPr>
              <w:rPr>
                <w:szCs w:val="22"/>
              </w:rPr>
            </w:pPr>
            <w:r w:rsidRPr="00A54168">
              <w:rPr>
                <w:szCs w:val="22"/>
              </w:rPr>
              <w:t>17 (5)</w:t>
            </w:r>
          </w:p>
        </w:tc>
        <w:tc>
          <w:tcPr>
            <w:tcW w:w="1530" w:type="dxa"/>
            <w:shd w:val="clear" w:color="auto" w:fill="auto"/>
          </w:tcPr>
          <w:p w14:paraId="379096BF" w14:textId="77777777" w:rsidR="007C5252" w:rsidRPr="00B968AE" w:rsidRDefault="00001661" w:rsidP="00525325">
            <w:pPr>
              <w:rPr>
                <w:szCs w:val="22"/>
              </w:rPr>
            </w:pPr>
            <w:r w:rsidRPr="00B968AE">
              <w:rPr>
                <w:szCs w:val="22"/>
              </w:rPr>
              <w:t>16 (5)</w:t>
            </w:r>
          </w:p>
        </w:tc>
        <w:tc>
          <w:tcPr>
            <w:tcW w:w="1710" w:type="dxa"/>
            <w:shd w:val="clear" w:color="auto" w:fill="auto"/>
          </w:tcPr>
          <w:p w14:paraId="40F3E5C5" w14:textId="77777777" w:rsidR="007C5252" w:rsidRPr="00B968AE" w:rsidRDefault="00001661" w:rsidP="00525325">
            <w:pPr>
              <w:rPr>
                <w:szCs w:val="22"/>
              </w:rPr>
            </w:pPr>
            <w:r w:rsidRPr="00B968AE">
              <w:rPr>
                <w:szCs w:val="22"/>
              </w:rPr>
              <w:t>14 (3)</w:t>
            </w:r>
          </w:p>
        </w:tc>
        <w:tc>
          <w:tcPr>
            <w:tcW w:w="1710" w:type="dxa"/>
            <w:shd w:val="clear" w:color="auto" w:fill="auto"/>
          </w:tcPr>
          <w:p w14:paraId="67C27BDF" w14:textId="77777777" w:rsidR="007C5252" w:rsidRPr="00B968AE" w:rsidRDefault="00001661" w:rsidP="00525325">
            <w:pPr>
              <w:rPr>
                <w:szCs w:val="22"/>
              </w:rPr>
            </w:pPr>
            <w:r w:rsidRPr="00B968AE">
              <w:rPr>
                <w:szCs w:val="22"/>
              </w:rPr>
              <w:t>22 (6)</w:t>
            </w:r>
          </w:p>
        </w:tc>
      </w:tr>
      <w:tr w:rsidR="007C5252" w:rsidRPr="00B968AE" w14:paraId="6CAF0901" w14:textId="77777777" w:rsidTr="00525325">
        <w:trPr>
          <w:trHeight w:val="70"/>
        </w:trPr>
        <w:tc>
          <w:tcPr>
            <w:tcW w:w="2316" w:type="dxa"/>
            <w:shd w:val="clear" w:color="auto" w:fill="auto"/>
          </w:tcPr>
          <w:p w14:paraId="306F607D" w14:textId="77777777" w:rsidR="007C5252" w:rsidRPr="00B968AE" w:rsidRDefault="007C5252" w:rsidP="00CB030E">
            <w:pPr>
              <w:rPr>
                <w:szCs w:val="22"/>
              </w:rPr>
            </w:pPr>
            <w:r w:rsidRPr="00B968AE">
              <w:rPr>
                <w:szCs w:val="22"/>
              </w:rPr>
              <w:t>Headache</w:t>
            </w:r>
          </w:p>
        </w:tc>
        <w:tc>
          <w:tcPr>
            <w:tcW w:w="1572" w:type="dxa"/>
            <w:shd w:val="clear" w:color="auto" w:fill="auto"/>
          </w:tcPr>
          <w:p w14:paraId="3BD57613" w14:textId="77777777" w:rsidR="007C5252" w:rsidRPr="00A54168" w:rsidRDefault="00EC6ACD" w:rsidP="00525325">
            <w:pPr>
              <w:rPr>
                <w:szCs w:val="22"/>
              </w:rPr>
            </w:pPr>
            <w:r w:rsidRPr="00A54168">
              <w:rPr>
                <w:szCs w:val="22"/>
              </w:rPr>
              <w:t>12 (4)</w:t>
            </w:r>
          </w:p>
        </w:tc>
        <w:tc>
          <w:tcPr>
            <w:tcW w:w="1530" w:type="dxa"/>
            <w:shd w:val="clear" w:color="auto" w:fill="auto"/>
          </w:tcPr>
          <w:p w14:paraId="071F8881" w14:textId="77777777" w:rsidR="007C5252" w:rsidRPr="00B968AE" w:rsidRDefault="00EC6ACD" w:rsidP="00525325">
            <w:pPr>
              <w:rPr>
                <w:szCs w:val="22"/>
              </w:rPr>
            </w:pPr>
            <w:r w:rsidRPr="00B968AE">
              <w:rPr>
                <w:szCs w:val="22"/>
              </w:rPr>
              <w:t>17 (7)</w:t>
            </w:r>
          </w:p>
        </w:tc>
        <w:tc>
          <w:tcPr>
            <w:tcW w:w="1710" w:type="dxa"/>
            <w:shd w:val="clear" w:color="auto" w:fill="auto"/>
          </w:tcPr>
          <w:p w14:paraId="5FC468EB" w14:textId="77777777" w:rsidR="007C5252" w:rsidRPr="00B968AE" w:rsidRDefault="00EC6ACD" w:rsidP="00525325">
            <w:pPr>
              <w:rPr>
                <w:szCs w:val="22"/>
              </w:rPr>
            </w:pPr>
            <w:r w:rsidRPr="00B968AE">
              <w:rPr>
                <w:szCs w:val="22"/>
              </w:rPr>
              <w:t>12 (4)</w:t>
            </w:r>
          </w:p>
        </w:tc>
        <w:tc>
          <w:tcPr>
            <w:tcW w:w="1710" w:type="dxa"/>
            <w:shd w:val="clear" w:color="auto" w:fill="auto"/>
          </w:tcPr>
          <w:p w14:paraId="0CF9F816" w14:textId="77777777" w:rsidR="007C5252" w:rsidRPr="00B968AE" w:rsidRDefault="00EC6ACD" w:rsidP="00525325">
            <w:pPr>
              <w:rPr>
                <w:szCs w:val="22"/>
              </w:rPr>
            </w:pPr>
            <w:r w:rsidRPr="00B968AE">
              <w:rPr>
                <w:szCs w:val="22"/>
              </w:rPr>
              <w:t>14 (4)</w:t>
            </w:r>
          </w:p>
        </w:tc>
      </w:tr>
      <w:tr w:rsidR="007C5252" w:rsidRPr="00B968AE" w14:paraId="1951CC87" w14:textId="77777777" w:rsidTr="00525325">
        <w:trPr>
          <w:trHeight w:val="70"/>
        </w:trPr>
        <w:tc>
          <w:tcPr>
            <w:tcW w:w="2316" w:type="dxa"/>
            <w:shd w:val="clear" w:color="auto" w:fill="auto"/>
          </w:tcPr>
          <w:p w14:paraId="11F9613B" w14:textId="77777777" w:rsidR="007C5252" w:rsidRPr="00B968AE" w:rsidRDefault="007C5252" w:rsidP="00525325">
            <w:pPr>
              <w:rPr>
                <w:szCs w:val="22"/>
              </w:rPr>
            </w:pPr>
            <w:r w:rsidRPr="00B968AE">
              <w:rPr>
                <w:szCs w:val="22"/>
              </w:rPr>
              <w:t>Dreams</w:t>
            </w:r>
          </w:p>
        </w:tc>
        <w:tc>
          <w:tcPr>
            <w:tcW w:w="1572" w:type="dxa"/>
            <w:shd w:val="clear" w:color="auto" w:fill="auto"/>
          </w:tcPr>
          <w:p w14:paraId="2713BD45" w14:textId="77777777" w:rsidR="007C5252" w:rsidRPr="00A54168" w:rsidRDefault="00EC6ACD" w:rsidP="00525325">
            <w:pPr>
              <w:rPr>
                <w:szCs w:val="22"/>
              </w:rPr>
            </w:pPr>
            <w:r w:rsidRPr="00A54168">
              <w:rPr>
                <w:szCs w:val="22"/>
              </w:rPr>
              <w:t>7 (7)</w:t>
            </w:r>
          </w:p>
        </w:tc>
        <w:tc>
          <w:tcPr>
            <w:tcW w:w="1530" w:type="dxa"/>
            <w:shd w:val="clear" w:color="auto" w:fill="auto"/>
          </w:tcPr>
          <w:p w14:paraId="3B50D9AE" w14:textId="77777777" w:rsidR="007C5252" w:rsidRPr="00B968AE" w:rsidRDefault="00EC6ACD" w:rsidP="00525325">
            <w:pPr>
              <w:rPr>
                <w:szCs w:val="22"/>
              </w:rPr>
            </w:pPr>
            <w:r w:rsidRPr="00B968AE">
              <w:rPr>
                <w:szCs w:val="22"/>
              </w:rPr>
              <w:t>16 (14)</w:t>
            </w:r>
          </w:p>
        </w:tc>
        <w:tc>
          <w:tcPr>
            <w:tcW w:w="1710" w:type="dxa"/>
            <w:shd w:val="clear" w:color="auto" w:fill="auto"/>
          </w:tcPr>
          <w:p w14:paraId="27BBCB58" w14:textId="77777777" w:rsidR="007C5252" w:rsidRPr="00B968AE" w:rsidRDefault="00EC6ACD" w:rsidP="00525325">
            <w:pPr>
              <w:rPr>
                <w:szCs w:val="22"/>
              </w:rPr>
            </w:pPr>
            <w:r w:rsidRPr="00B968AE">
              <w:rPr>
                <w:szCs w:val="22"/>
              </w:rPr>
              <w:t>6 (4)</w:t>
            </w:r>
          </w:p>
        </w:tc>
        <w:tc>
          <w:tcPr>
            <w:tcW w:w="1710" w:type="dxa"/>
            <w:shd w:val="clear" w:color="auto" w:fill="auto"/>
          </w:tcPr>
          <w:p w14:paraId="6A74AE5B" w14:textId="77777777" w:rsidR="007C5252" w:rsidRPr="00B968AE" w:rsidRDefault="00EC6ACD" w:rsidP="00525325">
            <w:pPr>
              <w:rPr>
                <w:szCs w:val="22"/>
              </w:rPr>
            </w:pPr>
            <w:r w:rsidRPr="00B968AE">
              <w:rPr>
                <w:szCs w:val="22"/>
              </w:rPr>
              <w:t>7 (3)</w:t>
            </w:r>
          </w:p>
        </w:tc>
      </w:tr>
      <w:tr w:rsidR="007C5252" w:rsidRPr="00B968AE" w14:paraId="30AB65BC" w14:textId="77777777" w:rsidTr="00525325">
        <w:trPr>
          <w:trHeight w:val="70"/>
        </w:trPr>
        <w:tc>
          <w:tcPr>
            <w:tcW w:w="2316" w:type="dxa"/>
            <w:shd w:val="clear" w:color="auto" w:fill="auto"/>
          </w:tcPr>
          <w:p w14:paraId="722006FF" w14:textId="77777777" w:rsidR="007C5252" w:rsidRPr="00B968AE" w:rsidRDefault="007C5252" w:rsidP="00525325">
            <w:pPr>
              <w:rPr>
                <w:szCs w:val="22"/>
              </w:rPr>
            </w:pPr>
            <w:r w:rsidRPr="00B968AE">
              <w:rPr>
                <w:szCs w:val="22"/>
              </w:rPr>
              <w:t>Insomnia</w:t>
            </w:r>
          </w:p>
        </w:tc>
        <w:tc>
          <w:tcPr>
            <w:tcW w:w="1572" w:type="dxa"/>
            <w:shd w:val="clear" w:color="auto" w:fill="auto"/>
          </w:tcPr>
          <w:p w14:paraId="51B94811" w14:textId="77777777" w:rsidR="007C5252" w:rsidRPr="00A54168" w:rsidRDefault="00EC6ACD" w:rsidP="00525325">
            <w:pPr>
              <w:rPr>
                <w:szCs w:val="22"/>
              </w:rPr>
            </w:pPr>
            <w:r w:rsidRPr="00A54168">
              <w:rPr>
                <w:szCs w:val="22"/>
              </w:rPr>
              <w:t>5 (3)</w:t>
            </w:r>
          </w:p>
        </w:tc>
        <w:tc>
          <w:tcPr>
            <w:tcW w:w="1530" w:type="dxa"/>
            <w:shd w:val="clear" w:color="auto" w:fill="auto"/>
          </w:tcPr>
          <w:p w14:paraId="4C0E8F83" w14:textId="77777777" w:rsidR="007C5252" w:rsidRPr="00B968AE" w:rsidRDefault="00EC6ACD" w:rsidP="00525325">
            <w:pPr>
              <w:rPr>
                <w:szCs w:val="22"/>
              </w:rPr>
            </w:pPr>
            <w:r w:rsidRPr="00B968AE">
              <w:rPr>
                <w:szCs w:val="22"/>
              </w:rPr>
              <w:t>16 (13)</w:t>
            </w:r>
          </w:p>
        </w:tc>
        <w:tc>
          <w:tcPr>
            <w:tcW w:w="1710" w:type="dxa"/>
            <w:shd w:val="clear" w:color="auto" w:fill="auto"/>
          </w:tcPr>
          <w:p w14:paraId="65A47E89" w14:textId="77777777" w:rsidR="007C5252" w:rsidRPr="00B968AE" w:rsidRDefault="00EC6ACD" w:rsidP="00525325">
            <w:pPr>
              <w:rPr>
                <w:szCs w:val="22"/>
              </w:rPr>
            </w:pPr>
            <w:r w:rsidRPr="00B968AE">
              <w:rPr>
                <w:szCs w:val="22"/>
              </w:rPr>
              <w:t>4 (2)</w:t>
            </w:r>
          </w:p>
        </w:tc>
        <w:tc>
          <w:tcPr>
            <w:tcW w:w="1710" w:type="dxa"/>
            <w:shd w:val="clear" w:color="auto" w:fill="auto"/>
          </w:tcPr>
          <w:p w14:paraId="729747D3" w14:textId="77777777" w:rsidR="007C5252" w:rsidRPr="00B968AE" w:rsidRDefault="00EC6ACD" w:rsidP="00525325">
            <w:pPr>
              <w:rPr>
                <w:szCs w:val="22"/>
              </w:rPr>
            </w:pPr>
            <w:r w:rsidRPr="00B968AE">
              <w:rPr>
                <w:szCs w:val="22"/>
              </w:rPr>
              <w:t>5 (2)</w:t>
            </w:r>
          </w:p>
        </w:tc>
      </w:tr>
      <w:tr w:rsidR="007C5252" w:rsidRPr="00B968AE" w14:paraId="43E41D24" w14:textId="77777777" w:rsidTr="00525325">
        <w:trPr>
          <w:trHeight w:val="70"/>
        </w:trPr>
        <w:tc>
          <w:tcPr>
            <w:tcW w:w="2316" w:type="dxa"/>
            <w:shd w:val="clear" w:color="auto" w:fill="auto"/>
          </w:tcPr>
          <w:p w14:paraId="3A6AAF58" w14:textId="77777777" w:rsidR="007C5252" w:rsidRPr="00B968AE" w:rsidRDefault="007C5252" w:rsidP="00525325">
            <w:pPr>
              <w:rPr>
                <w:szCs w:val="22"/>
              </w:rPr>
            </w:pPr>
            <w:r w:rsidRPr="00B968AE">
              <w:rPr>
                <w:szCs w:val="22"/>
              </w:rPr>
              <w:t>Fever</w:t>
            </w:r>
          </w:p>
        </w:tc>
        <w:tc>
          <w:tcPr>
            <w:tcW w:w="1572" w:type="dxa"/>
            <w:shd w:val="clear" w:color="auto" w:fill="auto"/>
          </w:tcPr>
          <w:p w14:paraId="29D598D7" w14:textId="77777777" w:rsidR="007C5252" w:rsidRPr="00A54168" w:rsidRDefault="00EC6ACD" w:rsidP="00525325">
            <w:pPr>
              <w:rPr>
                <w:szCs w:val="22"/>
              </w:rPr>
            </w:pPr>
            <w:r w:rsidRPr="00A54168">
              <w:rPr>
                <w:szCs w:val="22"/>
              </w:rPr>
              <w:t>9 (&lt;1)</w:t>
            </w:r>
          </w:p>
        </w:tc>
        <w:tc>
          <w:tcPr>
            <w:tcW w:w="1530" w:type="dxa"/>
            <w:shd w:val="clear" w:color="auto" w:fill="auto"/>
          </w:tcPr>
          <w:p w14:paraId="025529BB" w14:textId="77777777" w:rsidR="007C5252" w:rsidRPr="00B968AE" w:rsidRDefault="00EC6ACD" w:rsidP="00525325">
            <w:pPr>
              <w:rPr>
                <w:szCs w:val="22"/>
              </w:rPr>
            </w:pPr>
            <w:r w:rsidRPr="00B968AE">
              <w:rPr>
                <w:szCs w:val="22"/>
              </w:rPr>
              <w:t>11 (1)</w:t>
            </w:r>
          </w:p>
        </w:tc>
        <w:tc>
          <w:tcPr>
            <w:tcW w:w="1710" w:type="dxa"/>
            <w:shd w:val="clear" w:color="auto" w:fill="auto"/>
          </w:tcPr>
          <w:p w14:paraId="182E9233" w14:textId="77777777" w:rsidR="007C5252" w:rsidRPr="00B968AE" w:rsidRDefault="00EC6ACD" w:rsidP="00525325">
            <w:pPr>
              <w:rPr>
                <w:szCs w:val="22"/>
              </w:rPr>
            </w:pPr>
            <w:r w:rsidRPr="00B968AE">
              <w:rPr>
                <w:szCs w:val="22"/>
              </w:rPr>
              <w:t>8 (&lt;1)</w:t>
            </w:r>
          </w:p>
        </w:tc>
        <w:tc>
          <w:tcPr>
            <w:tcW w:w="1710" w:type="dxa"/>
            <w:shd w:val="clear" w:color="auto" w:fill="auto"/>
          </w:tcPr>
          <w:p w14:paraId="4DAB68E6" w14:textId="77777777" w:rsidR="007C5252" w:rsidRPr="00B968AE" w:rsidRDefault="00EC6ACD" w:rsidP="00525325">
            <w:pPr>
              <w:rPr>
                <w:szCs w:val="22"/>
              </w:rPr>
            </w:pPr>
            <w:r w:rsidRPr="00B968AE">
              <w:rPr>
                <w:szCs w:val="22"/>
              </w:rPr>
              <w:t>8 (&lt;1)</w:t>
            </w:r>
          </w:p>
        </w:tc>
      </w:tr>
      <w:tr w:rsidR="007C5252" w:rsidRPr="00B968AE" w14:paraId="35CEEEC4" w14:textId="77777777" w:rsidTr="00525325">
        <w:trPr>
          <w:trHeight w:val="70"/>
        </w:trPr>
        <w:tc>
          <w:tcPr>
            <w:tcW w:w="2316" w:type="dxa"/>
            <w:shd w:val="clear" w:color="auto" w:fill="auto"/>
          </w:tcPr>
          <w:p w14:paraId="213EC2E6" w14:textId="77777777" w:rsidR="007C5252" w:rsidRPr="00B968AE" w:rsidRDefault="007C5252" w:rsidP="00525325">
            <w:pPr>
              <w:rPr>
                <w:szCs w:val="22"/>
              </w:rPr>
            </w:pPr>
            <w:r w:rsidRPr="00B968AE">
              <w:rPr>
                <w:szCs w:val="22"/>
              </w:rPr>
              <w:t>Dizziness</w:t>
            </w:r>
          </w:p>
        </w:tc>
        <w:tc>
          <w:tcPr>
            <w:tcW w:w="1572" w:type="dxa"/>
            <w:shd w:val="clear" w:color="auto" w:fill="auto"/>
          </w:tcPr>
          <w:p w14:paraId="7FC7BCB4" w14:textId="77777777" w:rsidR="007C5252" w:rsidRPr="00A54168" w:rsidRDefault="00EC6ACD" w:rsidP="00525325">
            <w:pPr>
              <w:rPr>
                <w:szCs w:val="22"/>
              </w:rPr>
            </w:pPr>
            <w:r w:rsidRPr="00A54168">
              <w:rPr>
                <w:szCs w:val="22"/>
              </w:rPr>
              <w:t>5 (2)</w:t>
            </w:r>
          </w:p>
        </w:tc>
        <w:tc>
          <w:tcPr>
            <w:tcW w:w="1530" w:type="dxa"/>
            <w:shd w:val="clear" w:color="auto" w:fill="auto"/>
          </w:tcPr>
          <w:p w14:paraId="2C9F4CB6" w14:textId="77777777" w:rsidR="007C5252" w:rsidRPr="00B968AE" w:rsidRDefault="00EC6ACD" w:rsidP="00525325">
            <w:pPr>
              <w:rPr>
                <w:szCs w:val="22"/>
              </w:rPr>
            </w:pPr>
            <w:r w:rsidRPr="00B968AE">
              <w:rPr>
                <w:szCs w:val="22"/>
              </w:rPr>
              <w:t>14 (9)</w:t>
            </w:r>
          </w:p>
        </w:tc>
        <w:tc>
          <w:tcPr>
            <w:tcW w:w="1710" w:type="dxa"/>
            <w:shd w:val="clear" w:color="auto" w:fill="auto"/>
          </w:tcPr>
          <w:p w14:paraId="764EBDC0" w14:textId="77777777" w:rsidR="007C5252" w:rsidRPr="00B968AE" w:rsidRDefault="00EC6ACD" w:rsidP="00525325">
            <w:pPr>
              <w:rPr>
                <w:szCs w:val="22"/>
              </w:rPr>
            </w:pPr>
            <w:r w:rsidRPr="00B968AE">
              <w:rPr>
                <w:szCs w:val="22"/>
              </w:rPr>
              <w:t>7 (3)</w:t>
            </w:r>
          </w:p>
        </w:tc>
        <w:tc>
          <w:tcPr>
            <w:tcW w:w="1710" w:type="dxa"/>
            <w:shd w:val="clear" w:color="auto" w:fill="auto"/>
          </w:tcPr>
          <w:p w14:paraId="45D27492" w14:textId="77777777" w:rsidR="007C5252" w:rsidRPr="00B968AE" w:rsidRDefault="00EC6ACD" w:rsidP="00525325">
            <w:pPr>
              <w:rPr>
                <w:szCs w:val="22"/>
              </w:rPr>
            </w:pPr>
            <w:r w:rsidRPr="00B968AE">
              <w:rPr>
                <w:szCs w:val="22"/>
              </w:rPr>
              <w:t>8 (4)</w:t>
            </w:r>
          </w:p>
        </w:tc>
      </w:tr>
      <w:tr w:rsidR="007C5252" w:rsidRPr="00B968AE" w14:paraId="06349CD6" w14:textId="77777777" w:rsidTr="00525325">
        <w:trPr>
          <w:trHeight w:val="70"/>
        </w:trPr>
        <w:tc>
          <w:tcPr>
            <w:tcW w:w="2316" w:type="dxa"/>
            <w:shd w:val="clear" w:color="auto" w:fill="auto"/>
          </w:tcPr>
          <w:p w14:paraId="5EAA93FE" w14:textId="77777777" w:rsidR="007C5252" w:rsidRPr="00B968AE" w:rsidRDefault="007C5252" w:rsidP="00525325">
            <w:pPr>
              <w:rPr>
                <w:szCs w:val="22"/>
              </w:rPr>
            </w:pPr>
            <w:r w:rsidRPr="00B968AE">
              <w:rPr>
                <w:szCs w:val="22"/>
              </w:rPr>
              <w:t>Vomiting</w:t>
            </w:r>
          </w:p>
        </w:tc>
        <w:tc>
          <w:tcPr>
            <w:tcW w:w="1572" w:type="dxa"/>
            <w:shd w:val="clear" w:color="auto" w:fill="auto"/>
          </w:tcPr>
          <w:p w14:paraId="50FC595B" w14:textId="77777777" w:rsidR="007C5252" w:rsidRPr="00A54168" w:rsidRDefault="00EC6ACD" w:rsidP="00525325">
            <w:pPr>
              <w:rPr>
                <w:szCs w:val="22"/>
              </w:rPr>
            </w:pPr>
            <w:r w:rsidRPr="00A54168">
              <w:rPr>
                <w:szCs w:val="22"/>
              </w:rPr>
              <w:t>8 (1)</w:t>
            </w:r>
          </w:p>
        </w:tc>
        <w:tc>
          <w:tcPr>
            <w:tcW w:w="1530" w:type="dxa"/>
            <w:shd w:val="clear" w:color="auto" w:fill="auto"/>
          </w:tcPr>
          <w:p w14:paraId="7BFCC8FA" w14:textId="77777777" w:rsidR="007C5252" w:rsidRPr="00B968AE" w:rsidRDefault="00EC6ACD" w:rsidP="00525325">
            <w:pPr>
              <w:rPr>
                <w:szCs w:val="22"/>
              </w:rPr>
            </w:pPr>
            <w:r w:rsidRPr="00B968AE">
              <w:rPr>
                <w:szCs w:val="22"/>
              </w:rPr>
              <w:t>10 (2)</w:t>
            </w:r>
          </w:p>
        </w:tc>
        <w:tc>
          <w:tcPr>
            <w:tcW w:w="1710" w:type="dxa"/>
            <w:shd w:val="clear" w:color="auto" w:fill="auto"/>
          </w:tcPr>
          <w:p w14:paraId="2BB7259E" w14:textId="77777777" w:rsidR="007C5252" w:rsidRPr="00B968AE" w:rsidRDefault="00EC6ACD" w:rsidP="00525325">
            <w:pPr>
              <w:rPr>
                <w:szCs w:val="22"/>
              </w:rPr>
            </w:pPr>
            <w:r w:rsidRPr="00B968AE">
              <w:rPr>
                <w:szCs w:val="22"/>
              </w:rPr>
              <w:t>8 (0)</w:t>
            </w:r>
          </w:p>
        </w:tc>
        <w:tc>
          <w:tcPr>
            <w:tcW w:w="1710" w:type="dxa"/>
            <w:shd w:val="clear" w:color="auto" w:fill="auto"/>
          </w:tcPr>
          <w:p w14:paraId="2C2AEF8C" w14:textId="77777777" w:rsidR="007C5252" w:rsidRPr="00B968AE" w:rsidRDefault="00EC6ACD" w:rsidP="00525325">
            <w:pPr>
              <w:rPr>
                <w:szCs w:val="22"/>
              </w:rPr>
            </w:pPr>
            <w:r w:rsidRPr="00B968AE">
              <w:rPr>
                <w:szCs w:val="22"/>
              </w:rPr>
              <w:t>14  (2)</w:t>
            </w:r>
          </w:p>
        </w:tc>
      </w:tr>
      <w:tr w:rsidR="007C5252" w:rsidRPr="00B968AE" w14:paraId="1C770255" w14:textId="77777777" w:rsidTr="00525325">
        <w:trPr>
          <w:trHeight w:val="70"/>
        </w:trPr>
        <w:tc>
          <w:tcPr>
            <w:tcW w:w="2316" w:type="dxa"/>
            <w:shd w:val="clear" w:color="auto" w:fill="auto"/>
          </w:tcPr>
          <w:p w14:paraId="2B718274" w14:textId="77777777" w:rsidR="007C5252" w:rsidRPr="00B968AE" w:rsidRDefault="007C5252" w:rsidP="00525325">
            <w:pPr>
              <w:rPr>
                <w:szCs w:val="22"/>
              </w:rPr>
            </w:pPr>
            <w:r w:rsidRPr="00B968AE">
              <w:rPr>
                <w:szCs w:val="22"/>
              </w:rPr>
              <w:t>Oral ulcers</w:t>
            </w:r>
          </w:p>
        </w:tc>
        <w:tc>
          <w:tcPr>
            <w:tcW w:w="1572" w:type="dxa"/>
            <w:shd w:val="clear" w:color="auto" w:fill="auto"/>
          </w:tcPr>
          <w:p w14:paraId="3CA66545" w14:textId="77777777" w:rsidR="007C5252" w:rsidRPr="00A54168" w:rsidRDefault="00EC6ACD" w:rsidP="00525325">
            <w:pPr>
              <w:rPr>
                <w:szCs w:val="22"/>
              </w:rPr>
            </w:pPr>
            <w:r w:rsidRPr="00A54168">
              <w:rPr>
                <w:szCs w:val="22"/>
              </w:rPr>
              <w:t>9 (6)</w:t>
            </w:r>
          </w:p>
        </w:tc>
        <w:tc>
          <w:tcPr>
            <w:tcW w:w="1530" w:type="dxa"/>
            <w:shd w:val="clear" w:color="auto" w:fill="auto"/>
          </w:tcPr>
          <w:p w14:paraId="5687ECB2" w14:textId="77777777" w:rsidR="007C5252" w:rsidRPr="00B968AE" w:rsidRDefault="00EC6ACD" w:rsidP="00525325">
            <w:pPr>
              <w:rPr>
                <w:szCs w:val="22"/>
              </w:rPr>
            </w:pPr>
            <w:r w:rsidRPr="00B968AE">
              <w:rPr>
                <w:szCs w:val="22"/>
              </w:rPr>
              <w:t>6 (4)</w:t>
            </w:r>
          </w:p>
        </w:tc>
        <w:tc>
          <w:tcPr>
            <w:tcW w:w="1710" w:type="dxa"/>
            <w:shd w:val="clear" w:color="auto" w:fill="auto"/>
          </w:tcPr>
          <w:p w14:paraId="37904055" w14:textId="77777777" w:rsidR="007C5252" w:rsidRPr="00B968AE" w:rsidRDefault="00EC6ACD" w:rsidP="00525325">
            <w:pPr>
              <w:rPr>
                <w:szCs w:val="22"/>
              </w:rPr>
            </w:pPr>
            <w:r w:rsidRPr="00B968AE">
              <w:rPr>
                <w:szCs w:val="22"/>
              </w:rPr>
              <w:t>5 (4)</w:t>
            </w:r>
          </w:p>
        </w:tc>
        <w:tc>
          <w:tcPr>
            <w:tcW w:w="1710" w:type="dxa"/>
            <w:shd w:val="clear" w:color="auto" w:fill="auto"/>
          </w:tcPr>
          <w:p w14:paraId="3400C449" w14:textId="77777777" w:rsidR="007C5252" w:rsidRPr="00B968AE" w:rsidRDefault="00EC6ACD" w:rsidP="00525325">
            <w:pPr>
              <w:rPr>
                <w:szCs w:val="22"/>
              </w:rPr>
            </w:pPr>
            <w:r w:rsidRPr="00B968AE">
              <w:rPr>
                <w:szCs w:val="22"/>
              </w:rPr>
              <w:t>7 (5)</w:t>
            </w:r>
          </w:p>
        </w:tc>
      </w:tr>
      <w:tr w:rsidR="007C5252" w:rsidRPr="00B968AE" w14:paraId="017DB12F" w14:textId="77777777" w:rsidTr="00525325">
        <w:trPr>
          <w:trHeight w:val="70"/>
        </w:trPr>
        <w:tc>
          <w:tcPr>
            <w:tcW w:w="2316" w:type="dxa"/>
            <w:shd w:val="clear" w:color="auto" w:fill="auto"/>
          </w:tcPr>
          <w:p w14:paraId="1CA13A3E" w14:textId="5C5C62A7" w:rsidR="007C5252" w:rsidRPr="00B968AE" w:rsidRDefault="00660077" w:rsidP="00525325">
            <w:pPr>
              <w:rPr>
                <w:szCs w:val="22"/>
              </w:rPr>
            </w:pPr>
            <w:r w:rsidRPr="00B968AE">
              <w:rPr>
                <w:szCs w:val="22"/>
              </w:rPr>
              <w:t>Pruritus</w:t>
            </w:r>
          </w:p>
        </w:tc>
        <w:tc>
          <w:tcPr>
            <w:tcW w:w="1572" w:type="dxa"/>
            <w:shd w:val="clear" w:color="auto" w:fill="auto"/>
          </w:tcPr>
          <w:p w14:paraId="70441B50" w14:textId="77777777" w:rsidR="007C5252" w:rsidRPr="00A54168" w:rsidRDefault="00EC6ACD" w:rsidP="00525325">
            <w:pPr>
              <w:rPr>
                <w:szCs w:val="22"/>
              </w:rPr>
            </w:pPr>
            <w:r w:rsidRPr="00A54168">
              <w:rPr>
                <w:szCs w:val="22"/>
              </w:rPr>
              <w:t>4 (2)</w:t>
            </w:r>
          </w:p>
        </w:tc>
        <w:tc>
          <w:tcPr>
            <w:tcW w:w="1530" w:type="dxa"/>
            <w:shd w:val="clear" w:color="auto" w:fill="auto"/>
          </w:tcPr>
          <w:p w14:paraId="7FD8AE24" w14:textId="77777777" w:rsidR="007C5252" w:rsidRPr="00B968AE" w:rsidRDefault="00EC6ACD" w:rsidP="00525325">
            <w:pPr>
              <w:rPr>
                <w:szCs w:val="22"/>
              </w:rPr>
            </w:pPr>
            <w:r w:rsidRPr="00B968AE">
              <w:rPr>
                <w:szCs w:val="22"/>
              </w:rPr>
              <w:t>5 (2)</w:t>
            </w:r>
          </w:p>
        </w:tc>
        <w:tc>
          <w:tcPr>
            <w:tcW w:w="1710" w:type="dxa"/>
            <w:shd w:val="clear" w:color="auto" w:fill="auto"/>
          </w:tcPr>
          <w:p w14:paraId="369D9271" w14:textId="77777777" w:rsidR="007C5252" w:rsidRPr="00B968AE" w:rsidRDefault="00EC6ACD" w:rsidP="00525325">
            <w:pPr>
              <w:rPr>
                <w:szCs w:val="22"/>
              </w:rPr>
            </w:pPr>
            <w:r w:rsidRPr="00B968AE">
              <w:rPr>
                <w:szCs w:val="22"/>
              </w:rPr>
              <w:t>3 (1)</w:t>
            </w:r>
          </w:p>
        </w:tc>
        <w:tc>
          <w:tcPr>
            <w:tcW w:w="1710" w:type="dxa"/>
            <w:shd w:val="clear" w:color="auto" w:fill="auto"/>
          </w:tcPr>
          <w:p w14:paraId="5607BA2A" w14:textId="77777777" w:rsidR="007C5252" w:rsidRPr="00B968AE" w:rsidRDefault="00EC6ACD" w:rsidP="00525325">
            <w:pPr>
              <w:rPr>
                <w:szCs w:val="22"/>
              </w:rPr>
            </w:pPr>
            <w:r w:rsidRPr="00B968AE">
              <w:rPr>
                <w:szCs w:val="22"/>
              </w:rPr>
              <w:t>2 (&lt;1)</w:t>
            </w:r>
          </w:p>
        </w:tc>
      </w:tr>
      <w:tr w:rsidR="00001661" w:rsidRPr="00B968AE" w14:paraId="7F0FDC81" w14:textId="77777777" w:rsidTr="00525325">
        <w:trPr>
          <w:trHeight w:val="70"/>
        </w:trPr>
        <w:tc>
          <w:tcPr>
            <w:tcW w:w="2316" w:type="dxa"/>
            <w:shd w:val="clear" w:color="auto" w:fill="auto"/>
          </w:tcPr>
          <w:p w14:paraId="4E02F5F8" w14:textId="77777777" w:rsidR="00001661" w:rsidRPr="00B968AE" w:rsidRDefault="00001661" w:rsidP="00525325">
            <w:pPr>
              <w:rPr>
                <w:szCs w:val="22"/>
              </w:rPr>
            </w:pPr>
            <w:r w:rsidRPr="00B968AE">
              <w:rPr>
                <w:szCs w:val="22"/>
              </w:rPr>
              <w:t>Visual difficulties</w:t>
            </w:r>
          </w:p>
        </w:tc>
        <w:tc>
          <w:tcPr>
            <w:tcW w:w="1572" w:type="dxa"/>
            <w:shd w:val="clear" w:color="auto" w:fill="auto"/>
          </w:tcPr>
          <w:p w14:paraId="62A31724" w14:textId="77777777" w:rsidR="00001661" w:rsidRPr="00A54168" w:rsidRDefault="00EC6ACD" w:rsidP="00525325">
            <w:pPr>
              <w:rPr>
                <w:szCs w:val="22"/>
              </w:rPr>
            </w:pPr>
            <w:r w:rsidRPr="00A54168">
              <w:rPr>
                <w:szCs w:val="22"/>
              </w:rPr>
              <w:t>2 (2)</w:t>
            </w:r>
          </w:p>
        </w:tc>
        <w:tc>
          <w:tcPr>
            <w:tcW w:w="1530" w:type="dxa"/>
            <w:shd w:val="clear" w:color="auto" w:fill="auto"/>
          </w:tcPr>
          <w:p w14:paraId="25BBA289" w14:textId="77777777" w:rsidR="00001661" w:rsidRPr="00B968AE" w:rsidRDefault="00EC6ACD" w:rsidP="00525325">
            <w:pPr>
              <w:rPr>
                <w:szCs w:val="22"/>
              </w:rPr>
            </w:pPr>
            <w:r w:rsidRPr="00B968AE">
              <w:rPr>
                <w:szCs w:val="22"/>
              </w:rPr>
              <w:t>5 (3)</w:t>
            </w:r>
          </w:p>
        </w:tc>
        <w:tc>
          <w:tcPr>
            <w:tcW w:w="1710" w:type="dxa"/>
            <w:shd w:val="clear" w:color="auto" w:fill="auto"/>
          </w:tcPr>
          <w:p w14:paraId="2A572F2C" w14:textId="77777777" w:rsidR="00001661" w:rsidRPr="00B968AE" w:rsidRDefault="00EC6ACD" w:rsidP="00525325">
            <w:pPr>
              <w:rPr>
                <w:szCs w:val="22"/>
              </w:rPr>
            </w:pPr>
            <w:r w:rsidRPr="00B968AE">
              <w:rPr>
                <w:szCs w:val="22"/>
              </w:rPr>
              <w:t>3 (2)</w:t>
            </w:r>
          </w:p>
        </w:tc>
        <w:tc>
          <w:tcPr>
            <w:tcW w:w="1710" w:type="dxa"/>
            <w:shd w:val="clear" w:color="auto" w:fill="auto"/>
          </w:tcPr>
          <w:p w14:paraId="6DB976CF" w14:textId="77777777" w:rsidR="00001661" w:rsidRPr="00B968AE" w:rsidRDefault="00EC6ACD" w:rsidP="00525325">
            <w:pPr>
              <w:rPr>
                <w:szCs w:val="22"/>
              </w:rPr>
            </w:pPr>
            <w:r w:rsidRPr="00B968AE">
              <w:rPr>
                <w:szCs w:val="22"/>
              </w:rPr>
              <w:t>3 (2)</w:t>
            </w:r>
          </w:p>
        </w:tc>
      </w:tr>
    </w:tbl>
    <w:p w14:paraId="14E81D74" w14:textId="77777777" w:rsidR="00FA0674" w:rsidRDefault="00FA0674" w:rsidP="00FA0674">
      <w:pPr>
        <w:rPr>
          <w:szCs w:val="22"/>
        </w:rPr>
      </w:pPr>
      <w:proofErr w:type="spellStart"/>
      <w:proofErr w:type="gramStart"/>
      <w:r w:rsidRPr="00FA0674">
        <w:rPr>
          <w:szCs w:val="22"/>
          <w:vertAlign w:val="superscript"/>
        </w:rPr>
        <w:t>a</w:t>
      </w:r>
      <w:r w:rsidRPr="00FA0674">
        <w:rPr>
          <w:szCs w:val="22"/>
        </w:rPr>
        <w:t>Percent</w:t>
      </w:r>
      <w:proofErr w:type="spellEnd"/>
      <w:proofErr w:type="gramEnd"/>
      <w:r w:rsidRPr="00FA0674">
        <w:rPr>
          <w:szCs w:val="22"/>
        </w:rPr>
        <w:t xml:space="preserve"> of subjects with adverse experiences (percent of subjects with adverse experiences attributable to therapy)</w:t>
      </w:r>
    </w:p>
    <w:p w14:paraId="1E8B4411" w14:textId="77777777" w:rsidR="002A74BA" w:rsidRPr="00B968AE" w:rsidRDefault="002A74BA" w:rsidP="002A74BA">
      <w:pPr>
        <w:rPr>
          <w:szCs w:val="22"/>
        </w:rPr>
      </w:pPr>
    </w:p>
    <w:p w14:paraId="1B1FA7D8" w14:textId="2AC01E81" w:rsidR="00FD4407" w:rsidRDefault="00AA0716" w:rsidP="002A74BA">
      <w:pPr>
        <w:rPr>
          <w:szCs w:val="22"/>
        </w:rPr>
      </w:pPr>
      <w:r w:rsidRPr="00B968AE">
        <w:rPr>
          <w:szCs w:val="22"/>
        </w:rPr>
        <w:t xml:space="preserve">The higher treatment doses of atovaquone/proguanil were less well tolerated than the lower prophylactic doses. </w:t>
      </w:r>
      <w:r w:rsidR="00F57746" w:rsidRPr="00B968AE">
        <w:rPr>
          <w:szCs w:val="22"/>
        </w:rPr>
        <w:t xml:space="preserve">Among adults who received atovaquone/proguanil for treatment of malaria, </w:t>
      </w:r>
      <w:proofErr w:type="gramStart"/>
      <w:r w:rsidR="00F57746" w:rsidRPr="00B968AE">
        <w:rPr>
          <w:szCs w:val="22"/>
        </w:rPr>
        <w:t>attributable</w:t>
      </w:r>
      <w:proofErr w:type="gramEnd"/>
      <w:r w:rsidR="00F57746" w:rsidRPr="00B968AE">
        <w:rPr>
          <w:szCs w:val="22"/>
        </w:rPr>
        <w:t xml:space="preserve"> adverse experiences that occurred &gt; 5% of patients were abdominal pain (17%)</w:t>
      </w:r>
      <w:r w:rsidR="0010658C" w:rsidRPr="00B968AE">
        <w:rPr>
          <w:szCs w:val="22"/>
        </w:rPr>
        <w:t>, nausea (12%), vomiting (12%), diarrhea (8%), asthenia (8%), anorexia (5%), and dizziness (5%)</w:t>
      </w:r>
      <w:r w:rsidR="00D04181" w:rsidRPr="00B968AE">
        <w:rPr>
          <w:szCs w:val="22"/>
        </w:rPr>
        <w:t xml:space="preserve">. </w:t>
      </w:r>
    </w:p>
    <w:p w14:paraId="71E4776C" w14:textId="77777777" w:rsidR="00FD4407" w:rsidRPr="00B968AE" w:rsidRDefault="00FD4407" w:rsidP="00FD4407">
      <w:pPr>
        <w:pStyle w:val="Heading2"/>
        <w:rPr>
          <w:rFonts w:ascii="Times New Roman" w:hAnsi="Times New Roman"/>
          <w:sz w:val="22"/>
          <w:szCs w:val="22"/>
          <w:u w:val="single"/>
        </w:rPr>
      </w:pPr>
      <w:r w:rsidRPr="00B968AE">
        <w:rPr>
          <w:rFonts w:ascii="Times New Roman" w:hAnsi="Times New Roman"/>
          <w:sz w:val="22"/>
          <w:szCs w:val="22"/>
          <w:u w:val="single"/>
        </w:rPr>
        <w:t>Tolerability</w:t>
      </w:r>
      <w:r w:rsidRPr="00B968AE">
        <w:rPr>
          <w:rFonts w:ascii="Times New Roman" w:hAnsi="Times New Roman"/>
          <w:b w:val="0"/>
          <w:sz w:val="22"/>
          <w:szCs w:val="22"/>
          <w:vertAlign w:val="superscript"/>
        </w:rPr>
        <w:t>1, 10</w:t>
      </w:r>
    </w:p>
    <w:p w14:paraId="2876D55F" w14:textId="34E0714E" w:rsidR="00FD4407" w:rsidRPr="00B968AE" w:rsidRDefault="00FD4407" w:rsidP="002A74BA">
      <w:pPr>
        <w:rPr>
          <w:szCs w:val="22"/>
        </w:rPr>
      </w:pPr>
      <w:r w:rsidRPr="00B968AE">
        <w:rPr>
          <w:szCs w:val="22"/>
        </w:rPr>
        <w:t xml:space="preserve">In placebo-controlled trials for malaria prophylaxis, atovaquone/proguanil was discontinued prematurely due to a treatment-related adverse experience </w:t>
      </w:r>
      <w:r w:rsidRPr="00CE2BB4">
        <w:rPr>
          <w:szCs w:val="22"/>
        </w:rPr>
        <w:t>in 3 of 381 adult</w:t>
      </w:r>
      <w:r w:rsidR="00CE2BB4" w:rsidRPr="00CE2BB4">
        <w:rPr>
          <w:szCs w:val="22"/>
        </w:rPr>
        <w:t>s</w:t>
      </w:r>
      <w:r>
        <w:rPr>
          <w:szCs w:val="22"/>
        </w:rPr>
        <w:t xml:space="preserve">.   </w:t>
      </w:r>
      <w:r w:rsidRPr="00B968AE">
        <w:rPr>
          <w:szCs w:val="22"/>
        </w:rPr>
        <w:t xml:space="preserve">In comparator-controlled trials for malaria prophylaxis, atovaquone/proguanil was discontinued prematurely due to a treatment-related adverse experience in 7 of 1,004 travelers. </w:t>
      </w:r>
    </w:p>
    <w:p w14:paraId="5FBEF5BF" w14:textId="11D7A524" w:rsidR="00537E8D" w:rsidRPr="00B968AE" w:rsidRDefault="00537E8D">
      <w:pPr>
        <w:pStyle w:val="Heading2"/>
        <w:rPr>
          <w:rFonts w:ascii="Times New Roman" w:hAnsi="Times New Roman"/>
          <w:sz w:val="22"/>
          <w:szCs w:val="22"/>
        </w:rPr>
      </w:pPr>
      <w:r w:rsidRPr="00B968AE">
        <w:rPr>
          <w:rFonts w:ascii="Times New Roman" w:hAnsi="Times New Roman"/>
          <w:sz w:val="22"/>
          <w:szCs w:val="22"/>
          <w:u w:val="single"/>
        </w:rPr>
        <w:lastRenderedPageBreak/>
        <w:t>Deaths a</w:t>
      </w:r>
      <w:r w:rsidR="008D0C70" w:rsidRPr="00B968AE">
        <w:rPr>
          <w:rFonts w:ascii="Times New Roman" w:hAnsi="Times New Roman"/>
          <w:sz w:val="22"/>
          <w:szCs w:val="22"/>
          <w:u w:val="single"/>
        </w:rPr>
        <w:t>nd Other Serious Adverse Events</w:t>
      </w:r>
      <w:r w:rsidR="008D0C70" w:rsidRPr="00B968AE">
        <w:rPr>
          <w:rFonts w:ascii="Times New Roman" w:hAnsi="Times New Roman"/>
          <w:b w:val="0"/>
          <w:sz w:val="22"/>
          <w:szCs w:val="22"/>
          <w:u w:val="single"/>
          <w:vertAlign w:val="superscript"/>
        </w:rPr>
        <w:t>1</w:t>
      </w:r>
      <w:r w:rsidR="008D0C70" w:rsidRPr="00B968AE">
        <w:rPr>
          <w:rFonts w:ascii="Times New Roman" w:hAnsi="Times New Roman"/>
          <w:b w:val="0"/>
          <w:sz w:val="22"/>
          <w:szCs w:val="22"/>
          <w:vertAlign w:val="superscript"/>
        </w:rPr>
        <w:t xml:space="preserve">, </w:t>
      </w:r>
      <w:r w:rsidR="000A562C">
        <w:rPr>
          <w:rFonts w:ascii="Times New Roman" w:hAnsi="Times New Roman"/>
          <w:b w:val="0"/>
          <w:sz w:val="22"/>
          <w:szCs w:val="22"/>
          <w:vertAlign w:val="superscript"/>
        </w:rPr>
        <w:t>20</w:t>
      </w:r>
    </w:p>
    <w:p w14:paraId="3BE69BB8" w14:textId="028F86EC" w:rsidR="00F07B61" w:rsidRPr="00B968AE" w:rsidRDefault="00532F87">
      <w:pPr>
        <w:rPr>
          <w:szCs w:val="22"/>
        </w:rPr>
      </w:pPr>
      <w:r w:rsidRPr="00B968AE">
        <w:rPr>
          <w:szCs w:val="22"/>
        </w:rPr>
        <w:t>One death was reported during the conduct of the clinical trials. Patient was a young Zambian man with a psychiatric history whose malaria was treated with atovaquone</w:t>
      </w:r>
      <w:r w:rsidR="007C0101">
        <w:rPr>
          <w:szCs w:val="22"/>
        </w:rPr>
        <w:t xml:space="preserve"> alone</w:t>
      </w:r>
      <w:r w:rsidRPr="00B968AE">
        <w:rPr>
          <w:szCs w:val="22"/>
        </w:rPr>
        <w:t xml:space="preserve"> for 7 days. He was transferred to a psychiatric ward for treatment but died on day 13.  </w:t>
      </w:r>
      <w:r w:rsidR="00281F29">
        <w:rPr>
          <w:szCs w:val="22"/>
        </w:rPr>
        <w:t xml:space="preserve">While the patient’s antecedent delusions and agitation may have been attributable to atovaquone, his death was unlikely to have been related to atovaquone. </w:t>
      </w:r>
    </w:p>
    <w:p w14:paraId="18F0BAF0" w14:textId="77777777" w:rsidR="00F65446" w:rsidRPr="00B968AE" w:rsidRDefault="00F65446">
      <w:pPr>
        <w:rPr>
          <w:szCs w:val="22"/>
        </w:rPr>
      </w:pPr>
    </w:p>
    <w:p w14:paraId="371806E6" w14:textId="299DA05B" w:rsidR="00EE6F57" w:rsidRPr="00B968AE" w:rsidRDefault="00F45EBE">
      <w:pPr>
        <w:rPr>
          <w:szCs w:val="22"/>
        </w:rPr>
      </w:pPr>
      <w:r>
        <w:rPr>
          <w:szCs w:val="22"/>
        </w:rPr>
        <w:t>N</w:t>
      </w:r>
      <w:r w:rsidR="00EE6F57" w:rsidRPr="00B968AE">
        <w:rPr>
          <w:szCs w:val="22"/>
        </w:rPr>
        <w:t>ine patients experience</w:t>
      </w:r>
      <w:r>
        <w:rPr>
          <w:szCs w:val="22"/>
        </w:rPr>
        <w:t>d</w:t>
      </w:r>
      <w:r w:rsidR="00EE6F57" w:rsidRPr="00B968AE">
        <w:rPr>
          <w:szCs w:val="22"/>
        </w:rPr>
        <w:t xml:space="preserve"> serious adverse events, of </w:t>
      </w:r>
      <w:r w:rsidR="008D0C70" w:rsidRPr="00B968AE">
        <w:rPr>
          <w:szCs w:val="22"/>
        </w:rPr>
        <w:t>which;</w:t>
      </w:r>
      <w:r w:rsidR="00EE6F57" w:rsidRPr="00B968AE">
        <w:rPr>
          <w:szCs w:val="22"/>
        </w:rPr>
        <w:t xml:space="preserve"> five were on atovaquone/proguanil. Two out of 9 events were attributable to study medication. These were anaphylactic reaction (atovaquone/proguanil) and delusions/agitation prior t</w:t>
      </w:r>
      <w:r w:rsidR="00815DF5">
        <w:rPr>
          <w:szCs w:val="22"/>
        </w:rPr>
        <w:t>o sudden death (Zambian man as mentioned above who was on atovaquone alone</w:t>
      </w:r>
      <w:r w:rsidR="00EE6F57" w:rsidRPr="00B968AE">
        <w:rPr>
          <w:szCs w:val="22"/>
        </w:rPr>
        <w:t>)</w:t>
      </w:r>
    </w:p>
    <w:p w14:paraId="1A6DE88E" w14:textId="605FD918" w:rsidR="00537E8D" w:rsidRPr="00B968AE" w:rsidRDefault="00537E8D">
      <w:pPr>
        <w:pStyle w:val="Heading1"/>
        <w:rPr>
          <w:rFonts w:ascii="Times New Roman" w:hAnsi="Times New Roman"/>
          <w:szCs w:val="22"/>
        </w:rPr>
      </w:pPr>
      <w:r w:rsidRPr="00B968AE">
        <w:rPr>
          <w:rFonts w:ascii="Times New Roman" w:hAnsi="Times New Roman"/>
          <w:szCs w:val="22"/>
        </w:rPr>
        <w:t>Contraindications</w:t>
      </w:r>
      <w:r w:rsidR="008D0C70" w:rsidRPr="00B968AE">
        <w:rPr>
          <w:rFonts w:ascii="Times New Roman" w:hAnsi="Times New Roman"/>
          <w:b w:val="0"/>
          <w:szCs w:val="22"/>
          <w:u w:val="none"/>
          <w:vertAlign w:val="superscript"/>
        </w:rPr>
        <w:t>1</w:t>
      </w:r>
    </w:p>
    <w:p w14:paraId="00B2122B" w14:textId="57391445" w:rsidR="00E3216B" w:rsidRPr="00F45EBE" w:rsidRDefault="00D24BD0" w:rsidP="00F45EBE">
      <w:pPr>
        <w:pStyle w:val="ListParagraph"/>
        <w:numPr>
          <w:ilvl w:val="0"/>
          <w:numId w:val="44"/>
        </w:numPr>
        <w:rPr>
          <w:szCs w:val="22"/>
        </w:rPr>
      </w:pPr>
      <w:r>
        <w:rPr>
          <w:szCs w:val="22"/>
        </w:rPr>
        <w:t>I</w:t>
      </w:r>
      <w:r w:rsidR="00E3216B" w:rsidRPr="00D24BD0">
        <w:rPr>
          <w:szCs w:val="22"/>
        </w:rPr>
        <w:t>ndividuals with known hypersensitivity to atovaquone or proguanil hydrochloride or any component of the formulation. During clinical trials, 1 case of anaphylaxis following treatment with atovaquone/proguanil was observed.</w:t>
      </w:r>
    </w:p>
    <w:p w14:paraId="4A6F9A7E" w14:textId="2E15C9EC" w:rsidR="00E3216B" w:rsidRPr="00D24BD0" w:rsidRDefault="00D24BD0" w:rsidP="00D24BD0">
      <w:pPr>
        <w:pStyle w:val="ListParagraph"/>
        <w:numPr>
          <w:ilvl w:val="0"/>
          <w:numId w:val="44"/>
        </w:numPr>
        <w:rPr>
          <w:szCs w:val="22"/>
        </w:rPr>
      </w:pPr>
      <w:r>
        <w:rPr>
          <w:szCs w:val="22"/>
        </w:rPr>
        <w:t>When used f</w:t>
      </w:r>
      <w:r w:rsidR="00E3216B" w:rsidRPr="00D24BD0">
        <w:rPr>
          <w:szCs w:val="22"/>
        </w:rPr>
        <w:t xml:space="preserve">or prophylaxis of </w:t>
      </w:r>
      <w:r w:rsidR="00E3216B" w:rsidRPr="00ED4259">
        <w:rPr>
          <w:i/>
          <w:szCs w:val="22"/>
        </w:rPr>
        <w:t>P</w:t>
      </w:r>
      <w:r w:rsidR="00E3216B" w:rsidRPr="00D24BD0">
        <w:rPr>
          <w:szCs w:val="22"/>
        </w:rPr>
        <w:t xml:space="preserve">. </w:t>
      </w:r>
      <w:r w:rsidR="00E3216B" w:rsidRPr="00D24BD0">
        <w:rPr>
          <w:i/>
          <w:szCs w:val="22"/>
        </w:rPr>
        <w:t>falciparum</w:t>
      </w:r>
      <w:r w:rsidR="00E3216B" w:rsidRPr="00D24BD0">
        <w:rPr>
          <w:szCs w:val="22"/>
        </w:rPr>
        <w:t xml:space="preserve"> malaria in patients with severe renal impairment (creatinine clearance &lt; 30 mL/min) </w:t>
      </w:r>
    </w:p>
    <w:p w14:paraId="3686A752" w14:textId="6538A924" w:rsidR="00537E8D" w:rsidRPr="00B968AE" w:rsidRDefault="00E95D62" w:rsidP="00E95D62">
      <w:pPr>
        <w:pStyle w:val="Heading1"/>
        <w:rPr>
          <w:rFonts w:ascii="Times New Roman" w:hAnsi="Times New Roman"/>
          <w:szCs w:val="22"/>
        </w:rPr>
      </w:pPr>
      <w:r w:rsidRPr="00B968AE">
        <w:rPr>
          <w:rFonts w:ascii="Times New Roman" w:hAnsi="Times New Roman"/>
          <w:szCs w:val="22"/>
        </w:rPr>
        <w:t xml:space="preserve">Warnings and </w:t>
      </w:r>
      <w:r w:rsidR="00537E8D" w:rsidRPr="00B968AE">
        <w:rPr>
          <w:rFonts w:ascii="Times New Roman" w:hAnsi="Times New Roman"/>
          <w:szCs w:val="22"/>
        </w:rPr>
        <w:t>Precautions</w:t>
      </w:r>
      <w:r w:rsidR="001D3F67" w:rsidRPr="00B968AE">
        <w:rPr>
          <w:rFonts w:ascii="Times New Roman" w:hAnsi="Times New Roman"/>
          <w:b w:val="0"/>
          <w:szCs w:val="22"/>
          <w:u w:val="none"/>
          <w:vertAlign w:val="superscript"/>
        </w:rPr>
        <w:t>1</w:t>
      </w:r>
    </w:p>
    <w:p w14:paraId="66CDC808" w14:textId="53C957CF" w:rsidR="007C61BE" w:rsidRPr="00B968AE" w:rsidRDefault="007C61BE" w:rsidP="00F8475E">
      <w:pPr>
        <w:numPr>
          <w:ilvl w:val="0"/>
          <w:numId w:val="33"/>
        </w:numPr>
        <w:ind w:left="360"/>
        <w:rPr>
          <w:szCs w:val="22"/>
        </w:rPr>
      </w:pPr>
      <w:r w:rsidRPr="00B968AE">
        <w:rPr>
          <w:szCs w:val="22"/>
        </w:rPr>
        <w:t xml:space="preserve">Atovaquone/proguanil is contraindicated for prophylaxis of </w:t>
      </w:r>
      <w:r w:rsidRPr="00ED4259">
        <w:rPr>
          <w:i/>
          <w:szCs w:val="22"/>
        </w:rPr>
        <w:t>P</w:t>
      </w:r>
      <w:r w:rsidRPr="00B968AE">
        <w:rPr>
          <w:szCs w:val="22"/>
        </w:rPr>
        <w:t xml:space="preserve">. </w:t>
      </w:r>
      <w:r w:rsidRPr="00B968AE">
        <w:rPr>
          <w:i/>
          <w:szCs w:val="22"/>
        </w:rPr>
        <w:t>falciparum</w:t>
      </w:r>
      <w:r w:rsidRPr="00B968AE">
        <w:rPr>
          <w:szCs w:val="22"/>
        </w:rPr>
        <w:t xml:space="preserve"> malaria in </w:t>
      </w:r>
      <w:r w:rsidR="00061831" w:rsidRPr="00B968AE">
        <w:rPr>
          <w:szCs w:val="22"/>
        </w:rPr>
        <w:t>patients</w:t>
      </w:r>
      <w:r w:rsidRPr="00B968AE">
        <w:rPr>
          <w:szCs w:val="22"/>
        </w:rPr>
        <w:t xml:space="preserve"> with severe renal impairment (i.e. creatinine clearance  &lt; 30 ml/min)</w:t>
      </w:r>
    </w:p>
    <w:p w14:paraId="65E33FE7" w14:textId="77777777" w:rsidR="007C61BE" w:rsidRPr="00B968AE" w:rsidRDefault="007C61BE" w:rsidP="00F8475E">
      <w:pPr>
        <w:numPr>
          <w:ilvl w:val="0"/>
          <w:numId w:val="33"/>
        </w:numPr>
        <w:ind w:left="360"/>
        <w:rPr>
          <w:szCs w:val="22"/>
        </w:rPr>
      </w:pPr>
      <w:r w:rsidRPr="00B968AE">
        <w:rPr>
          <w:szCs w:val="22"/>
        </w:rPr>
        <w:t xml:space="preserve">Atovaquone/proguanil should not be used for the treatment of cerebral malaria or other severe manifestations of complicated malaria, including </w:t>
      </w:r>
      <w:proofErr w:type="spellStart"/>
      <w:r w:rsidRPr="00B968AE">
        <w:rPr>
          <w:szCs w:val="22"/>
        </w:rPr>
        <w:t>hyperparsitemia</w:t>
      </w:r>
      <w:proofErr w:type="spellEnd"/>
      <w:r w:rsidRPr="00B968AE">
        <w:rPr>
          <w:szCs w:val="22"/>
        </w:rPr>
        <w:t xml:space="preserve">, pulmonary edema, or renal failure. </w:t>
      </w:r>
    </w:p>
    <w:p w14:paraId="51D59E8A" w14:textId="77777777" w:rsidR="007C61BE" w:rsidRPr="00B968AE" w:rsidRDefault="007C61BE" w:rsidP="00F8475E">
      <w:pPr>
        <w:numPr>
          <w:ilvl w:val="0"/>
          <w:numId w:val="33"/>
        </w:numPr>
        <w:ind w:left="360"/>
        <w:rPr>
          <w:szCs w:val="22"/>
        </w:rPr>
      </w:pPr>
      <w:r w:rsidRPr="00B968AE">
        <w:rPr>
          <w:szCs w:val="22"/>
        </w:rPr>
        <w:t xml:space="preserve">Absorption of atovaquone may be reduced in patients with diarrhea or vomiting. If atovaquone/proguanil is used in patients who are vomiting, </w:t>
      </w:r>
      <w:proofErr w:type="spellStart"/>
      <w:r w:rsidRPr="00B968AE">
        <w:rPr>
          <w:szCs w:val="22"/>
        </w:rPr>
        <w:t>parasitemia</w:t>
      </w:r>
      <w:proofErr w:type="spellEnd"/>
      <w:r w:rsidRPr="00B968AE">
        <w:rPr>
          <w:szCs w:val="22"/>
        </w:rPr>
        <w:t xml:space="preserve"> should be closely monitored and the use of an antiemetic should be considered. </w:t>
      </w:r>
    </w:p>
    <w:p w14:paraId="1E5335C0" w14:textId="0ED56F88" w:rsidR="007C61BE" w:rsidRPr="00204AF0" w:rsidRDefault="007C61BE" w:rsidP="00204AF0">
      <w:pPr>
        <w:numPr>
          <w:ilvl w:val="0"/>
          <w:numId w:val="33"/>
        </w:numPr>
        <w:ind w:left="360"/>
        <w:rPr>
          <w:szCs w:val="22"/>
        </w:rPr>
      </w:pPr>
      <w:r w:rsidRPr="00B968AE">
        <w:rPr>
          <w:szCs w:val="22"/>
        </w:rPr>
        <w:t xml:space="preserve">Parasite relapse occurred commonly when </w:t>
      </w:r>
      <w:r w:rsidRPr="00ED4259">
        <w:rPr>
          <w:i/>
          <w:szCs w:val="22"/>
        </w:rPr>
        <w:t>P.</w:t>
      </w:r>
      <w:r w:rsidR="00061831" w:rsidRPr="00B968AE">
        <w:rPr>
          <w:szCs w:val="22"/>
        </w:rPr>
        <w:t xml:space="preserve"> </w:t>
      </w:r>
      <w:proofErr w:type="spellStart"/>
      <w:r w:rsidRPr="00B968AE">
        <w:rPr>
          <w:i/>
          <w:szCs w:val="22"/>
        </w:rPr>
        <w:t>vivax</w:t>
      </w:r>
      <w:proofErr w:type="spellEnd"/>
      <w:r w:rsidRPr="00B968AE">
        <w:rPr>
          <w:szCs w:val="22"/>
        </w:rPr>
        <w:t xml:space="preserve"> malaria was treated with atovaquone/proguanil alone</w:t>
      </w:r>
    </w:p>
    <w:p w14:paraId="6D7D479B" w14:textId="5495B887" w:rsidR="007C61BE" w:rsidRPr="00F45EBE" w:rsidRDefault="007C61BE" w:rsidP="00F45EBE">
      <w:pPr>
        <w:numPr>
          <w:ilvl w:val="0"/>
          <w:numId w:val="33"/>
        </w:numPr>
        <w:ind w:left="360"/>
        <w:rPr>
          <w:szCs w:val="22"/>
        </w:rPr>
      </w:pPr>
      <w:r w:rsidRPr="00B968AE">
        <w:rPr>
          <w:szCs w:val="22"/>
        </w:rPr>
        <w:t xml:space="preserve">In the event of recrudescent </w:t>
      </w:r>
      <w:r w:rsidRPr="00ED4259">
        <w:rPr>
          <w:i/>
          <w:szCs w:val="22"/>
        </w:rPr>
        <w:t>P</w:t>
      </w:r>
      <w:r w:rsidRPr="00B968AE">
        <w:rPr>
          <w:szCs w:val="22"/>
        </w:rPr>
        <w:t xml:space="preserve">. </w:t>
      </w:r>
      <w:r w:rsidRPr="00B968AE">
        <w:rPr>
          <w:i/>
          <w:szCs w:val="22"/>
        </w:rPr>
        <w:t>falciparum</w:t>
      </w:r>
      <w:r w:rsidRPr="00B968AE">
        <w:rPr>
          <w:szCs w:val="22"/>
        </w:rPr>
        <w:t xml:space="preserve"> </w:t>
      </w:r>
      <w:r w:rsidR="00165B7D" w:rsidRPr="00B968AE">
        <w:rPr>
          <w:szCs w:val="22"/>
        </w:rPr>
        <w:t>infections after</w:t>
      </w:r>
      <w:r w:rsidRPr="00B968AE">
        <w:rPr>
          <w:szCs w:val="22"/>
        </w:rPr>
        <w:t xml:space="preserve"> treatment or failure of prophylaxis with atovaquone/proguanil, patients should be treated with a different antimalarial agent. </w:t>
      </w:r>
    </w:p>
    <w:p w14:paraId="7A30F253" w14:textId="77777777" w:rsidR="007C61BE" w:rsidRPr="00B968AE" w:rsidRDefault="007C61BE" w:rsidP="00F8475E">
      <w:pPr>
        <w:numPr>
          <w:ilvl w:val="0"/>
          <w:numId w:val="33"/>
        </w:numPr>
        <w:ind w:left="360"/>
        <w:rPr>
          <w:szCs w:val="22"/>
        </w:rPr>
      </w:pPr>
      <w:r w:rsidRPr="00B968AE">
        <w:rPr>
          <w:szCs w:val="22"/>
        </w:rPr>
        <w:t>The con</w:t>
      </w:r>
      <w:r w:rsidR="00BA68CA" w:rsidRPr="00B968AE">
        <w:rPr>
          <w:szCs w:val="22"/>
        </w:rPr>
        <w:t>co</w:t>
      </w:r>
      <w:r w:rsidRPr="00B968AE">
        <w:rPr>
          <w:szCs w:val="22"/>
        </w:rPr>
        <w:t>mitant administration of atovaquone/proguanil and any other medication containing proguanil hydrochloride should be avoided</w:t>
      </w:r>
      <w:r w:rsidR="00A02261" w:rsidRPr="00B968AE">
        <w:rPr>
          <w:szCs w:val="22"/>
        </w:rPr>
        <w:t xml:space="preserve">. </w:t>
      </w:r>
    </w:p>
    <w:p w14:paraId="5CB993AA" w14:textId="77777777" w:rsidR="00BA68CA" w:rsidRPr="00B968AE" w:rsidRDefault="00BA68CA" w:rsidP="00F8475E">
      <w:pPr>
        <w:numPr>
          <w:ilvl w:val="0"/>
          <w:numId w:val="33"/>
        </w:numPr>
        <w:ind w:left="360"/>
        <w:rPr>
          <w:szCs w:val="22"/>
        </w:rPr>
      </w:pPr>
      <w:r w:rsidRPr="00B968AE">
        <w:rPr>
          <w:szCs w:val="22"/>
        </w:rPr>
        <w:t xml:space="preserve">Increased transaminase levels and hepatitis have been reported with prophylactic use; single case report of hepatic failure requiring transplantation documented. Monitor closely and use caution in patients with existing hepatic impairment. Elevations in AST/ALT may persist for up to 4 weeks following treatment </w:t>
      </w:r>
    </w:p>
    <w:p w14:paraId="262CDF48" w14:textId="4F777DC0" w:rsidR="0038158D" w:rsidRPr="00B968AE" w:rsidRDefault="0038158D" w:rsidP="0038158D">
      <w:pPr>
        <w:pStyle w:val="Heading1"/>
        <w:rPr>
          <w:rFonts w:ascii="Times New Roman" w:hAnsi="Times New Roman"/>
          <w:szCs w:val="22"/>
        </w:rPr>
      </w:pPr>
      <w:r w:rsidRPr="00B968AE">
        <w:rPr>
          <w:rFonts w:ascii="Times New Roman" w:hAnsi="Times New Roman"/>
          <w:szCs w:val="22"/>
        </w:rPr>
        <w:t>Special Populations</w:t>
      </w:r>
      <w:r w:rsidR="00B932BB" w:rsidRPr="00B968AE">
        <w:rPr>
          <w:rFonts w:ascii="Times New Roman" w:hAnsi="Times New Roman"/>
          <w:szCs w:val="22"/>
          <w:u w:val="none"/>
        </w:rPr>
        <w:t xml:space="preserve"> </w:t>
      </w:r>
      <w:r w:rsidR="00E7153A">
        <w:rPr>
          <w:rFonts w:ascii="Times New Roman" w:hAnsi="Times New Roman"/>
          <w:b w:val="0"/>
          <w:szCs w:val="22"/>
          <w:u w:val="none"/>
          <w:vertAlign w:val="superscript"/>
        </w:rPr>
        <w:t>1</w:t>
      </w:r>
      <w:r w:rsidR="000A562C">
        <w:rPr>
          <w:rFonts w:ascii="Times New Roman" w:hAnsi="Times New Roman"/>
          <w:b w:val="0"/>
          <w:szCs w:val="22"/>
          <w:u w:val="none"/>
          <w:vertAlign w:val="superscript"/>
        </w:rPr>
        <w:t>, 7</w:t>
      </w:r>
      <w:r w:rsidR="00E7153A">
        <w:rPr>
          <w:rFonts w:ascii="Times New Roman" w:hAnsi="Times New Roman"/>
          <w:b w:val="0"/>
          <w:szCs w:val="22"/>
          <w:u w:val="none"/>
          <w:vertAlign w:val="superscript"/>
        </w:rPr>
        <w:t>-9</w:t>
      </w:r>
    </w:p>
    <w:p w14:paraId="227E82CF" w14:textId="6D83F78B" w:rsidR="000F5AFF" w:rsidRPr="00B968AE" w:rsidRDefault="009D2BF0" w:rsidP="009D2BF0">
      <w:pPr>
        <w:rPr>
          <w:szCs w:val="22"/>
        </w:rPr>
      </w:pPr>
      <w:r w:rsidRPr="00B968AE">
        <w:rPr>
          <w:b/>
          <w:szCs w:val="22"/>
        </w:rPr>
        <w:t>Pregnancy:</w:t>
      </w:r>
      <w:r w:rsidR="00665EC2" w:rsidRPr="00B968AE">
        <w:rPr>
          <w:szCs w:val="22"/>
        </w:rPr>
        <w:t xml:space="preserve"> A</w:t>
      </w:r>
      <w:r w:rsidR="00321718" w:rsidRPr="00B968AE">
        <w:rPr>
          <w:szCs w:val="22"/>
        </w:rPr>
        <w:t xml:space="preserve">tovaquone/proguanil is </w:t>
      </w:r>
      <w:r w:rsidR="007302B6" w:rsidRPr="00B968AE">
        <w:rPr>
          <w:szCs w:val="22"/>
        </w:rPr>
        <w:t xml:space="preserve">categorized as </w:t>
      </w:r>
      <w:r w:rsidR="00321718" w:rsidRPr="00B968AE">
        <w:rPr>
          <w:szCs w:val="22"/>
        </w:rPr>
        <w:t xml:space="preserve">pregnancy category C. </w:t>
      </w:r>
      <w:r w:rsidR="007C0101">
        <w:rPr>
          <w:szCs w:val="22"/>
        </w:rPr>
        <w:t xml:space="preserve">Falciparum malaria carries a higher risk of morbidity and mortality in pregnant women than in the general population with maternal death and fetal loss are both known </w:t>
      </w:r>
      <w:r w:rsidR="00D91F04">
        <w:rPr>
          <w:szCs w:val="22"/>
        </w:rPr>
        <w:t>complications</w:t>
      </w:r>
      <w:r w:rsidR="007C0101">
        <w:rPr>
          <w:szCs w:val="22"/>
        </w:rPr>
        <w:t xml:space="preserve"> of falciparum malaria in pregnancy. Therefore, the manufacturer recommended that atovaquone/proguanil may be used if the potential benefit justified the potential risk to the fetus. In addition, pregnant women who must travel to malaria-endemic areas, personal protection against mosquito bites should always be employed in addition to </w:t>
      </w:r>
      <w:proofErr w:type="spellStart"/>
      <w:r w:rsidR="007C0101">
        <w:rPr>
          <w:szCs w:val="22"/>
        </w:rPr>
        <w:t>antimalarials</w:t>
      </w:r>
      <w:proofErr w:type="spellEnd"/>
      <w:r w:rsidR="007C0101">
        <w:rPr>
          <w:szCs w:val="22"/>
        </w:rPr>
        <w:t xml:space="preserve">. </w:t>
      </w:r>
      <w:r w:rsidR="00D91F04">
        <w:rPr>
          <w:szCs w:val="22"/>
        </w:rPr>
        <w:t xml:space="preserve"> However, a</w:t>
      </w:r>
      <w:r w:rsidR="00934569" w:rsidRPr="00B968AE">
        <w:rPr>
          <w:szCs w:val="22"/>
        </w:rPr>
        <w:t>tovaquone/proguanil is not currently recommended for use during pregnancy</w:t>
      </w:r>
      <w:r w:rsidR="007C0101">
        <w:rPr>
          <w:szCs w:val="22"/>
        </w:rPr>
        <w:t xml:space="preserve"> by the CDC</w:t>
      </w:r>
      <w:r w:rsidR="00934569" w:rsidRPr="00B968AE">
        <w:rPr>
          <w:szCs w:val="22"/>
        </w:rPr>
        <w:t xml:space="preserve">. </w:t>
      </w:r>
    </w:p>
    <w:p w14:paraId="70F724E5" w14:textId="77777777" w:rsidR="009D2BF0" w:rsidRPr="00B968AE" w:rsidRDefault="009D2BF0" w:rsidP="009D2BF0">
      <w:pPr>
        <w:rPr>
          <w:szCs w:val="22"/>
        </w:rPr>
      </w:pPr>
    </w:p>
    <w:p w14:paraId="544F64A5" w14:textId="77777777" w:rsidR="009D2BF0" w:rsidRPr="00B968AE" w:rsidRDefault="009D2BF0" w:rsidP="009D2BF0">
      <w:pPr>
        <w:rPr>
          <w:szCs w:val="22"/>
        </w:rPr>
      </w:pPr>
      <w:r w:rsidRPr="00B968AE">
        <w:rPr>
          <w:b/>
          <w:szCs w:val="22"/>
        </w:rPr>
        <w:t>Lactation:</w:t>
      </w:r>
      <w:r w:rsidRPr="00B968AE">
        <w:rPr>
          <w:szCs w:val="22"/>
        </w:rPr>
        <w:t xml:space="preserve"> Caution should be exercised when atovaquone/proguanil is administered to a nursing woman. Proguanil is excreted in human milk in small quantities.  However, it is not known whether atovaquone is excreted in human milk. </w:t>
      </w:r>
    </w:p>
    <w:p w14:paraId="04D4E6BC" w14:textId="77777777" w:rsidR="009D2BF0" w:rsidRPr="00B968AE" w:rsidRDefault="009D2BF0" w:rsidP="009D2BF0">
      <w:pPr>
        <w:rPr>
          <w:szCs w:val="22"/>
        </w:rPr>
      </w:pPr>
    </w:p>
    <w:p w14:paraId="1E7B6670" w14:textId="4B9D6A69" w:rsidR="002818C3" w:rsidRPr="00B968AE" w:rsidRDefault="00CE7622" w:rsidP="00E95D62">
      <w:pPr>
        <w:rPr>
          <w:szCs w:val="22"/>
        </w:rPr>
      </w:pPr>
      <w:r w:rsidRPr="00B968AE">
        <w:rPr>
          <w:b/>
          <w:szCs w:val="22"/>
        </w:rPr>
        <w:t>Geriatrics:</w:t>
      </w:r>
      <w:r w:rsidRPr="00B968AE">
        <w:rPr>
          <w:szCs w:val="22"/>
        </w:rPr>
        <w:t xml:space="preserve"> </w:t>
      </w:r>
      <w:r w:rsidR="00BA68CA" w:rsidRPr="00B968AE">
        <w:rPr>
          <w:szCs w:val="22"/>
        </w:rPr>
        <w:t xml:space="preserve">In a single-dose study, the pharmacokinetics of atovaquone/proguanil </w:t>
      </w:r>
      <w:r w:rsidR="002818C3" w:rsidRPr="00B968AE">
        <w:rPr>
          <w:szCs w:val="22"/>
        </w:rPr>
        <w:t>was</w:t>
      </w:r>
      <w:r w:rsidR="00BA68CA" w:rsidRPr="00B968AE">
        <w:rPr>
          <w:szCs w:val="22"/>
        </w:rPr>
        <w:t xml:space="preserve"> comp</w:t>
      </w:r>
      <w:r w:rsidR="002818C3" w:rsidRPr="00B968AE">
        <w:rPr>
          <w:szCs w:val="22"/>
        </w:rPr>
        <w:t>a</w:t>
      </w:r>
      <w:r w:rsidR="00BA68CA" w:rsidRPr="00B968AE">
        <w:rPr>
          <w:szCs w:val="22"/>
        </w:rPr>
        <w:t>re</w:t>
      </w:r>
      <w:r w:rsidR="002939C3" w:rsidRPr="00B968AE">
        <w:rPr>
          <w:szCs w:val="22"/>
        </w:rPr>
        <w:t>d</w:t>
      </w:r>
      <w:r w:rsidR="00BA68CA" w:rsidRPr="00B968AE">
        <w:rPr>
          <w:szCs w:val="22"/>
        </w:rPr>
        <w:t xml:space="preserve"> in 13 elderly subjects (65-79 years old) to 13 younger subjects (30-45 years old). In </w:t>
      </w:r>
      <w:r w:rsidR="002818C3" w:rsidRPr="00B968AE">
        <w:rPr>
          <w:szCs w:val="22"/>
        </w:rPr>
        <w:t xml:space="preserve">the elderly subject, the extent of systemic exposure (AUC) of </w:t>
      </w:r>
      <w:proofErr w:type="spellStart"/>
      <w:r w:rsidR="002818C3" w:rsidRPr="00B968AE">
        <w:rPr>
          <w:szCs w:val="22"/>
        </w:rPr>
        <w:t>cycloguanil</w:t>
      </w:r>
      <w:proofErr w:type="spellEnd"/>
      <w:r w:rsidR="002818C3" w:rsidRPr="00B968AE">
        <w:rPr>
          <w:szCs w:val="22"/>
        </w:rPr>
        <w:t xml:space="preserve"> (metabolite of </w:t>
      </w:r>
      <w:proofErr w:type="spellStart"/>
      <w:r w:rsidR="002818C3" w:rsidRPr="00B968AE">
        <w:rPr>
          <w:szCs w:val="22"/>
        </w:rPr>
        <w:t>proguanil</w:t>
      </w:r>
      <w:proofErr w:type="spellEnd"/>
      <w:r w:rsidR="002818C3" w:rsidRPr="00B968AE">
        <w:rPr>
          <w:szCs w:val="22"/>
        </w:rPr>
        <w:t xml:space="preserve">) was increased by approximately 2 fold and half-life was longer in elderly subjects (mean 14.9 hours) compared with younger subjects (mean 8.3 hours). </w:t>
      </w:r>
      <w:r w:rsidR="003D73B3" w:rsidRPr="00B968AE">
        <w:rPr>
          <w:szCs w:val="22"/>
        </w:rPr>
        <w:t>However</w:t>
      </w:r>
      <w:r w:rsidR="002818C3" w:rsidRPr="00B968AE">
        <w:rPr>
          <w:szCs w:val="22"/>
        </w:rPr>
        <w:t xml:space="preserve">, the manufacturer has no specific recommendation for dose adjustment in elderly patients. </w:t>
      </w:r>
    </w:p>
    <w:p w14:paraId="7F159FBD" w14:textId="13433C4A" w:rsidR="002818C3" w:rsidRPr="00B968AE" w:rsidRDefault="002818C3" w:rsidP="00E95D62">
      <w:pPr>
        <w:rPr>
          <w:szCs w:val="22"/>
        </w:rPr>
      </w:pPr>
      <w:r w:rsidRPr="00B968AE">
        <w:rPr>
          <w:b/>
          <w:szCs w:val="22"/>
        </w:rPr>
        <w:lastRenderedPageBreak/>
        <w:t>Hepatic impairment:</w:t>
      </w:r>
      <w:r w:rsidRPr="00B968AE">
        <w:rPr>
          <w:szCs w:val="22"/>
        </w:rPr>
        <w:t xml:space="preserve"> In a single dose study, the pharmacokinetics of atovaquone/proguanil </w:t>
      </w:r>
      <w:r w:rsidR="00305946" w:rsidRPr="00B968AE">
        <w:rPr>
          <w:szCs w:val="22"/>
        </w:rPr>
        <w:t>was</w:t>
      </w:r>
      <w:r w:rsidRPr="00B968AE">
        <w:rPr>
          <w:szCs w:val="22"/>
        </w:rPr>
        <w:t xml:space="preserve"> compared</w:t>
      </w:r>
      <w:r w:rsidR="003D73B3" w:rsidRPr="00B968AE">
        <w:rPr>
          <w:szCs w:val="22"/>
        </w:rPr>
        <w:t xml:space="preserve"> in 13 subjects</w:t>
      </w:r>
      <w:r w:rsidRPr="00B968AE">
        <w:rPr>
          <w:szCs w:val="22"/>
        </w:rPr>
        <w:t xml:space="preserve"> with mild-moderate hepatic impairment to 13 subjects with normal hepatic function. In subjects with moderate hepatic impairment, the elimination half-</w:t>
      </w:r>
      <w:r w:rsidR="00061831" w:rsidRPr="00B968AE">
        <w:rPr>
          <w:szCs w:val="22"/>
        </w:rPr>
        <w:t>life and</w:t>
      </w:r>
      <w:r w:rsidR="003D73B3" w:rsidRPr="00B968AE">
        <w:rPr>
          <w:szCs w:val="22"/>
        </w:rPr>
        <w:t xml:space="preserve"> </w:t>
      </w:r>
      <w:r w:rsidR="00305946" w:rsidRPr="00B968AE">
        <w:rPr>
          <w:szCs w:val="22"/>
        </w:rPr>
        <w:t>AUC</w:t>
      </w:r>
      <w:r w:rsidR="003D73B3" w:rsidRPr="00B968AE">
        <w:rPr>
          <w:szCs w:val="22"/>
        </w:rPr>
        <w:t xml:space="preserve"> </w:t>
      </w:r>
      <w:r w:rsidRPr="00B968AE">
        <w:rPr>
          <w:szCs w:val="22"/>
        </w:rPr>
        <w:t xml:space="preserve">of atovaquone/proguanil </w:t>
      </w:r>
      <w:r w:rsidR="002B32E9" w:rsidRPr="00B968AE">
        <w:rPr>
          <w:szCs w:val="22"/>
        </w:rPr>
        <w:t xml:space="preserve">increased in subjects with hepatic impairment compared to healthy volunteers. </w:t>
      </w:r>
      <w:r w:rsidR="00D2016E" w:rsidRPr="00B968AE">
        <w:rPr>
          <w:szCs w:val="22"/>
        </w:rPr>
        <w:t xml:space="preserve">The manufacturer has no recommendation for dose adjustment in patients with mild-moderate hepatic impairment. </w:t>
      </w:r>
      <w:r w:rsidR="00305946" w:rsidRPr="00B968AE">
        <w:rPr>
          <w:szCs w:val="22"/>
        </w:rPr>
        <w:t xml:space="preserve"> No studies have been done in patients </w:t>
      </w:r>
      <w:r w:rsidR="00BA6567">
        <w:rPr>
          <w:szCs w:val="22"/>
        </w:rPr>
        <w:t>with severe hepatic impairment</w:t>
      </w:r>
      <w:r w:rsidR="002939C3" w:rsidRPr="00B968AE">
        <w:rPr>
          <w:szCs w:val="22"/>
        </w:rPr>
        <w:t>.</w:t>
      </w:r>
    </w:p>
    <w:p w14:paraId="7B9E19AE" w14:textId="77777777" w:rsidR="003D73B3" w:rsidRPr="00B968AE" w:rsidRDefault="003D73B3" w:rsidP="00E95D62">
      <w:pPr>
        <w:rPr>
          <w:szCs w:val="22"/>
        </w:rPr>
      </w:pPr>
    </w:p>
    <w:p w14:paraId="2742FEFD" w14:textId="1647901B" w:rsidR="00314BB2" w:rsidRPr="00B968AE" w:rsidRDefault="003D73B3" w:rsidP="00E95D62">
      <w:pPr>
        <w:rPr>
          <w:szCs w:val="22"/>
        </w:rPr>
      </w:pPr>
      <w:r w:rsidRPr="00B968AE">
        <w:rPr>
          <w:b/>
          <w:szCs w:val="22"/>
        </w:rPr>
        <w:t>Renal impairment:</w:t>
      </w:r>
      <w:r w:rsidRPr="00B968AE">
        <w:rPr>
          <w:szCs w:val="22"/>
        </w:rPr>
        <w:t xml:space="preserve"> In patient with </w:t>
      </w:r>
      <w:r w:rsidR="00305946" w:rsidRPr="00B968AE">
        <w:rPr>
          <w:szCs w:val="22"/>
        </w:rPr>
        <w:t>severe renal impairment (</w:t>
      </w:r>
      <w:r w:rsidRPr="00B968AE">
        <w:rPr>
          <w:szCs w:val="22"/>
        </w:rPr>
        <w:t>creatinine clearance &lt; 30 ml/m</w:t>
      </w:r>
      <w:r w:rsidR="00305946" w:rsidRPr="00B968AE">
        <w:rPr>
          <w:szCs w:val="22"/>
        </w:rPr>
        <w:t>i</w:t>
      </w:r>
      <w:r w:rsidRPr="00B968AE">
        <w:rPr>
          <w:szCs w:val="22"/>
        </w:rPr>
        <w:t>n</w:t>
      </w:r>
      <w:r w:rsidR="00305946" w:rsidRPr="00B968AE">
        <w:rPr>
          <w:szCs w:val="22"/>
        </w:rPr>
        <w:t>)</w:t>
      </w:r>
      <w:r w:rsidRPr="00B968AE">
        <w:rPr>
          <w:szCs w:val="22"/>
        </w:rPr>
        <w:t xml:space="preserve">, </w:t>
      </w:r>
      <w:proofErr w:type="spellStart"/>
      <w:r w:rsidRPr="00B968AE">
        <w:rPr>
          <w:szCs w:val="22"/>
        </w:rPr>
        <w:t>atovaquone</w:t>
      </w:r>
      <w:proofErr w:type="spellEnd"/>
      <w:r w:rsidRPr="00B968AE">
        <w:rPr>
          <w:szCs w:val="22"/>
        </w:rPr>
        <w:t xml:space="preserve"> AUC and </w:t>
      </w:r>
      <w:proofErr w:type="spellStart"/>
      <w:r w:rsidRPr="00B968AE">
        <w:rPr>
          <w:szCs w:val="22"/>
        </w:rPr>
        <w:t>C</w:t>
      </w:r>
      <w:r w:rsidRPr="00B968AE">
        <w:rPr>
          <w:szCs w:val="22"/>
          <w:vertAlign w:val="subscript"/>
        </w:rPr>
        <w:t>max</w:t>
      </w:r>
      <w:proofErr w:type="spellEnd"/>
      <w:r w:rsidRPr="00B968AE">
        <w:rPr>
          <w:szCs w:val="22"/>
        </w:rPr>
        <w:t xml:space="preserve"> are reduced but the elimination half-lives for </w:t>
      </w:r>
      <w:proofErr w:type="spellStart"/>
      <w:r w:rsidRPr="00B968AE">
        <w:rPr>
          <w:szCs w:val="22"/>
        </w:rPr>
        <w:t>proguanil</w:t>
      </w:r>
      <w:proofErr w:type="spellEnd"/>
      <w:r w:rsidRPr="00B968AE">
        <w:rPr>
          <w:szCs w:val="22"/>
        </w:rPr>
        <w:t xml:space="preserve"> and </w:t>
      </w:r>
      <w:proofErr w:type="spellStart"/>
      <w:r w:rsidRPr="00B968AE">
        <w:rPr>
          <w:szCs w:val="22"/>
        </w:rPr>
        <w:t>cycloguail</w:t>
      </w:r>
      <w:proofErr w:type="spellEnd"/>
      <w:r w:rsidRPr="00B968AE">
        <w:rPr>
          <w:szCs w:val="22"/>
        </w:rPr>
        <w:t xml:space="preserve"> and prolonged, with correspondent increased in AUC resulting in the potential of drug accumulation with repeated dosing. </w:t>
      </w:r>
      <w:r w:rsidR="00305946" w:rsidRPr="00B968AE">
        <w:rPr>
          <w:szCs w:val="22"/>
        </w:rPr>
        <w:t xml:space="preserve"> Atovaquone/proguanil is contraindicated in patients with severe renal impairment for malaria proph</w:t>
      </w:r>
      <w:r w:rsidR="0088099A" w:rsidRPr="00B968AE">
        <w:rPr>
          <w:szCs w:val="22"/>
        </w:rPr>
        <w:t>ylaxis. If atovaquone/proguanil</w:t>
      </w:r>
      <w:r w:rsidR="00305946" w:rsidRPr="00B968AE">
        <w:rPr>
          <w:szCs w:val="22"/>
        </w:rPr>
        <w:t xml:space="preserve"> is used for malaria treatment, benefit must outweigh the risk in patients with severe renal impairment. </w:t>
      </w:r>
    </w:p>
    <w:p w14:paraId="503CE51C" w14:textId="362004EB" w:rsidR="00F65446" w:rsidRPr="00B968AE" w:rsidRDefault="00F65446" w:rsidP="00F65446">
      <w:pPr>
        <w:pStyle w:val="Heading1"/>
        <w:rPr>
          <w:rFonts w:ascii="Times New Roman" w:hAnsi="Times New Roman"/>
          <w:szCs w:val="22"/>
        </w:rPr>
      </w:pPr>
      <w:proofErr w:type="spellStart"/>
      <w:r w:rsidRPr="00B968AE">
        <w:rPr>
          <w:rFonts w:ascii="Times New Roman" w:hAnsi="Times New Roman"/>
          <w:szCs w:val="22"/>
        </w:rPr>
        <w:t>P</w:t>
      </w:r>
      <w:r w:rsidR="00204AF0">
        <w:rPr>
          <w:rFonts w:ascii="Times New Roman" w:hAnsi="Times New Roman"/>
          <w:szCs w:val="22"/>
        </w:rPr>
        <w:t>ostmarketing</w:t>
      </w:r>
      <w:proofErr w:type="spellEnd"/>
      <w:r w:rsidR="00204AF0">
        <w:rPr>
          <w:rFonts w:ascii="Times New Roman" w:hAnsi="Times New Roman"/>
          <w:szCs w:val="22"/>
        </w:rPr>
        <w:t xml:space="preserve"> Safety Experience</w:t>
      </w:r>
      <w:r w:rsidR="000A562C" w:rsidRPr="000A562C">
        <w:rPr>
          <w:rFonts w:ascii="Times New Roman" w:hAnsi="Times New Roman"/>
          <w:b w:val="0"/>
          <w:szCs w:val="22"/>
          <w:u w:val="none"/>
          <w:vertAlign w:val="superscript"/>
        </w:rPr>
        <w:t>1</w:t>
      </w:r>
    </w:p>
    <w:p w14:paraId="4B2E3BA9" w14:textId="1005A198" w:rsidR="005F28F4" w:rsidRPr="00B968AE" w:rsidRDefault="005F28F4" w:rsidP="005F28F4">
      <w:pPr>
        <w:rPr>
          <w:szCs w:val="22"/>
        </w:rPr>
      </w:pPr>
      <w:r w:rsidRPr="00B968AE">
        <w:rPr>
          <w:b/>
          <w:szCs w:val="22"/>
        </w:rPr>
        <w:t>Skin:</w:t>
      </w:r>
      <w:r w:rsidR="000A562C">
        <w:rPr>
          <w:szCs w:val="22"/>
        </w:rPr>
        <w:t xml:space="preserve"> C</w:t>
      </w:r>
      <w:r w:rsidRPr="00B968AE">
        <w:rPr>
          <w:szCs w:val="22"/>
        </w:rPr>
        <w:t xml:space="preserve">utaneous reactions from rash, photosensitivity, and urticarial to rare cases of erythema </w:t>
      </w:r>
      <w:proofErr w:type="spellStart"/>
      <w:r w:rsidRPr="00B968AE">
        <w:rPr>
          <w:szCs w:val="22"/>
        </w:rPr>
        <w:t>multiforme</w:t>
      </w:r>
      <w:proofErr w:type="spellEnd"/>
      <w:r w:rsidRPr="00B968AE">
        <w:rPr>
          <w:szCs w:val="22"/>
        </w:rPr>
        <w:t xml:space="preserve"> and Stevens-Johnson syndrome. </w:t>
      </w:r>
    </w:p>
    <w:p w14:paraId="47B3B017" w14:textId="77777777" w:rsidR="005F28F4" w:rsidRPr="00B968AE" w:rsidRDefault="005F28F4" w:rsidP="005F28F4">
      <w:pPr>
        <w:rPr>
          <w:szCs w:val="22"/>
        </w:rPr>
      </w:pPr>
    </w:p>
    <w:p w14:paraId="53773932" w14:textId="5161FE88" w:rsidR="005F28F4" w:rsidRDefault="005F28F4" w:rsidP="005F28F4">
      <w:pPr>
        <w:rPr>
          <w:szCs w:val="22"/>
        </w:rPr>
      </w:pPr>
      <w:r w:rsidRPr="00B968AE">
        <w:rPr>
          <w:b/>
          <w:szCs w:val="22"/>
        </w:rPr>
        <w:t>Central nervous system:</w:t>
      </w:r>
      <w:r w:rsidRPr="00B968AE">
        <w:rPr>
          <w:szCs w:val="22"/>
        </w:rPr>
        <w:t xml:space="preserve"> </w:t>
      </w:r>
      <w:r w:rsidR="000A562C">
        <w:rPr>
          <w:szCs w:val="22"/>
        </w:rPr>
        <w:t>R</w:t>
      </w:r>
      <w:r w:rsidRPr="00B968AE">
        <w:rPr>
          <w:szCs w:val="22"/>
        </w:rPr>
        <w:t xml:space="preserve">are cases of seizure and psychotic events (e.g. hallucinations); however, a causal relationship has not been established. </w:t>
      </w:r>
    </w:p>
    <w:p w14:paraId="056980DE" w14:textId="77777777" w:rsidR="000A562C" w:rsidRDefault="000A562C" w:rsidP="005F28F4">
      <w:pPr>
        <w:rPr>
          <w:szCs w:val="22"/>
        </w:rPr>
      </w:pPr>
    </w:p>
    <w:p w14:paraId="2ED7E3C1" w14:textId="2CB4041E" w:rsidR="000A562C" w:rsidRDefault="000A562C" w:rsidP="005F28F4">
      <w:pPr>
        <w:rPr>
          <w:szCs w:val="22"/>
        </w:rPr>
      </w:pPr>
      <w:r w:rsidRPr="000A562C">
        <w:rPr>
          <w:b/>
          <w:szCs w:val="22"/>
        </w:rPr>
        <w:t>Blood and Lymphatic System Disorders:</w:t>
      </w:r>
      <w:r w:rsidR="001D3F67">
        <w:rPr>
          <w:szCs w:val="22"/>
        </w:rPr>
        <w:t xml:space="preserve"> P</w:t>
      </w:r>
      <w:r>
        <w:rPr>
          <w:szCs w:val="22"/>
        </w:rPr>
        <w:t>ancytopenia in patients with severe renal impairment.</w:t>
      </w:r>
    </w:p>
    <w:p w14:paraId="3B3C5F9B" w14:textId="77777777" w:rsidR="003837BB" w:rsidRDefault="003837BB" w:rsidP="005F28F4">
      <w:pPr>
        <w:rPr>
          <w:szCs w:val="22"/>
        </w:rPr>
      </w:pPr>
    </w:p>
    <w:p w14:paraId="162C817F" w14:textId="304ABD4F" w:rsidR="003837BB" w:rsidRPr="00B968AE" w:rsidRDefault="003837BB" w:rsidP="005F28F4">
      <w:pPr>
        <w:rPr>
          <w:szCs w:val="22"/>
        </w:rPr>
      </w:pPr>
      <w:proofErr w:type="spellStart"/>
      <w:r w:rsidRPr="003837BB">
        <w:rPr>
          <w:b/>
          <w:szCs w:val="22"/>
        </w:rPr>
        <w:t>Hepatibiliary</w:t>
      </w:r>
      <w:proofErr w:type="spellEnd"/>
      <w:r w:rsidRPr="003837BB">
        <w:rPr>
          <w:b/>
          <w:szCs w:val="22"/>
        </w:rPr>
        <w:t xml:space="preserve"> disorders:</w:t>
      </w:r>
      <w:r>
        <w:rPr>
          <w:szCs w:val="22"/>
        </w:rPr>
        <w:t xml:space="preserve"> elevated liver function tests and rare cases of hepatitis. </w:t>
      </w:r>
    </w:p>
    <w:p w14:paraId="1FDA2103" w14:textId="77777777" w:rsidR="00054692" w:rsidRPr="00B968AE" w:rsidRDefault="00054692" w:rsidP="00F65446">
      <w:pPr>
        <w:pStyle w:val="Heading1"/>
        <w:rPr>
          <w:rFonts w:ascii="Times New Roman" w:hAnsi="Times New Roman"/>
          <w:szCs w:val="22"/>
        </w:rPr>
      </w:pPr>
      <w:r w:rsidRPr="00B968AE">
        <w:rPr>
          <w:rFonts w:ascii="Times New Roman" w:hAnsi="Times New Roman"/>
          <w:szCs w:val="22"/>
        </w:rPr>
        <w:t>Sentinel Events</w:t>
      </w:r>
    </w:p>
    <w:p w14:paraId="0E312E82" w14:textId="77777777" w:rsidR="00054692" w:rsidRPr="00B968AE" w:rsidRDefault="00C0714E" w:rsidP="00054692">
      <w:pPr>
        <w:rPr>
          <w:szCs w:val="22"/>
        </w:rPr>
      </w:pPr>
      <w:r w:rsidRPr="00B968AE">
        <w:rPr>
          <w:szCs w:val="22"/>
        </w:rPr>
        <w:t>No data.</w:t>
      </w:r>
    </w:p>
    <w:p w14:paraId="0FD1F078" w14:textId="77777777" w:rsidR="00537E8D" w:rsidRPr="00B968AE" w:rsidRDefault="00537E8D">
      <w:pPr>
        <w:pStyle w:val="Heading1"/>
        <w:rPr>
          <w:rFonts w:ascii="Times New Roman" w:hAnsi="Times New Roman"/>
          <w:szCs w:val="22"/>
        </w:rPr>
      </w:pPr>
      <w:r w:rsidRPr="00334ED7">
        <w:rPr>
          <w:rFonts w:ascii="Times New Roman" w:hAnsi="Times New Roman"/>
          <w:szCs w:val="22"/>
        </w:rPr>
        <w:t>Look-alike / Sound-alike (LA / SA) Error Risk Potential</w:t>
      </w:r>
    </w:p>
    <w:p w14:paraId="5ED886A8" w14:textId="527024A3" w:rsidR="00E91CBA" w:rsidRDefault="00F202F3">
      <w:pPr>
        <w:rPr>
          <w:szCs w:val="22"/>
        </w:rPr>
      </w:pPr>
      <w:r w:rsidRPr="00B968AE">
        <w:rPr>
          <w:szCs w:val="22"/>
        </w:rPr>
        <w:t xml:space="preserve">As part of a </w:t>
      </w:r>
      <w:r w:rsidRPr="00B968AE">
        <w:rPr>
          <w:color w:val="403152"/>
          <w:szCs w:val="22"/>
        </w:rPr>
        <w:t xml:space="preserve">Joint Commission </w:t>
      </w:r>
      <w:r w:rsidR="00BA550F" w:rsidRPr="00B968AE">
        <w:rPr>
          <w:szCs w:val="22"/>
        </w:rPr>
        <w:t xml:space="preserve">standard, LASA names are assessed during the formulary selection of drugs.  Based on clinical judgment and an evaluation of LASA information from </w:t>
      </w:r>
      <w:r w:rsidR="004F3CCC" w:rsidRPr="00B968AE">
        <w:rPr>
          <w:szCs w:val="22"/>
        </w:rPr>
        <w:t xml:space="preserve">three </w:t>
      </w:r>
      <w:r w:rsidR="00BA550F" w:rsidRPr="00B968AE">
        <w:rPr>
          <w:szCs w:val="22"/>
        </w:rPr>
        <w:t>data sources (Lexi-Comp, First Databank, and ISMP Confused Drug Name List), the following drug names may cause LASA confusion</w:t>
      </w:r>
      <w:r w:rsidR="00537E8D" w:rsidRPr="00B968AE">
        <w:rPr>
          <w:szCs w:val="22"/>
        </w:rPr>
        <w:t>:</w:t>
      </w:r>
    </w:p>
    <w:p w14:paraId="390BE97F" w14:textId="77777777" w:rsidR="00CF125A" w:rsidRDefault="00CF125A">
      <w:pPr>
        <w:rPr>
          <w:szCs w:val="22"/>
        </w:rPr>
      </w:pPr>
    </w:p>
    <w:tbl>
      <w:tblPr>
        <w:tblStyle w:val="TableGrid"/>
        <w:tblW w:w="4813" w:type="pct"/>
        <w:tblLayout w:type="fixed"/>
        <w:tblLook w:val="04A0" w:firstRow="1" w:lastRow="0" w:firstColumn="1" w:lastColumn="0" w:noHBand="0" w:noVBand="1"/>
      </w:tblPr>
      <w:tblGrid>
        <w:gridCol w:w="2793"/>
        <w:gridCol w:w="1134"/>
        <w:gridCol w:w="1460"/>
        <w:gridCol w:w="973"/>
        <w:gridCol w:w="3412"/>
      </w:tblGrid>
      <w:tr w:rsidR="00CF125A" w14:paraId="7EC05CB7" w14:textId="77777777" w:rsidTr="00D47A31">
        <w:trPr>
          <w:trHeight w:val="323"/>
        </w:trPr>
        <w:tc>
          <w:tcPr>
            <w:tcW w:w="1429" w:type="pct"/>
            <w:hideMark/>
          </w:tcPr>
          <w:p w14:paraId="6DB0C585" w14:textId="77777777" w:rsidR="00CF125A" w:rsidRDefault="00CF125A">
            <w:pPr>
              <w:rPr>
                <w:rFonts w:ascii="Calibri" w:eastAsiaTheme="minorHAnsi" w:hAnsi="Calibri" w:cs="Calibri"/>
                <w:sz w:val="20"/>
              </w:rPr>
            </w:pPr>
            <w:r>
              <w:rPr>
                <w:sz w:val="20"/>
              </w:rPr>
              <w:t>NME Drug Name</w:t>
            </w:r>
          </w:p>
        </w:tc>
        <w:tc>
          <w:tcPr>
            <w:tcW w:w="580" w:type="pct"/>
            <w:hideMark/>
          </w:tcPr>
          <w:p w14:paraId="31966BAA" w14:textId="77777777" w:rsidR="00CF125A" w:rsidRDefault="00CF125A">
            <w:pPr>
              <w:rPr>
                <w:rFonts w:ascii="Calibri" w:eastAsiaTheme="minorHAnsi" w:hAnsi="Calibri" w:cs="Calibri"/>
                <w:sz w:val="20"/>
              </w:rPr>
            </w:pPr>
            <w:r>
              <w:rPr>
                <w:sz w:val="20"/>
              </w:rPr>
              <w:t>Lexi-Comp</w:t>
            </w:r>
          </w:p>
        </w:tc>
        <w:tc>
          <w:tcPr>
            <w:tcW w:w="747" w:type="pct"/>
            <w:hideMark/>
          </w:tcPr>
          <w:p w14:paraId="72AD2568" w14:textId="77777777" w:rsidR="00CF125A" w:rsidRDefault="00CF125A">
            <w:pPr>
              <w:rPr>
                <w:rFonts w:ascii="Calibri" w:eastAsiaTheme="minorHAnsi" w:hAnsi="Calibri" w:cs="Calibri"/>
                <w:sz w:val="20"/>
              </w:rPr>
            </w:pPr>
            <w:r>
              <w:rPr>
                <w:sz w:val="20"/>
              </w:rPr>
              <w:t xml:space="preserve">First </w:t>
            </w:r>
            <w:proofErr w:type="spellStart"/>
            <w:r>
              <w:rPr>
                <w:sz w:val="20"/>
              </w:rPr>
              <w:t>DataBank</w:t>
            </w:r>
            <w:proofErr w:type="spellEnd"/>
          </w:p>
        </w:tc>
        <w:tc>
          <w:tcPr>
            <w:tcW w:w="498" w:type="pct"/>
            <w:hideMark/>
          </w:tcPr>
          <w:p w14:paraId="77810003" w14:textId="77777777" w:rsidR="00CF125A" w:rsidRDefault="00CF125A">
            <w:pPr>
              <w:rPr>
                <w:rFonts w:ascii="Calibri" w:eastAsiaTheme="minorHAnsi" w:hAnsi="Calibri" w:cs="Calibri"/>
                <w:sz w:val="20"/>
              </w:rPr>
            </w:pPr>
            <w:r>
              <w:rPr>
                <w:sz w:val="20"/>
              </w:rPr>
              <w:t>ISMP</w:t>
            </w:r>
          </w:p>
        </w:tc>
        <w:tc>
          <w:tcPr>
            <w:tcW w:w="1746" w:type="pct"/>
            <w:hideMark/>
          </w:tcPr>
          <w:p w14:paraId="2AEA6F66" w14:textId="77777777" w:rsidR="00CF125A" w:rsidRDefault="00CF125A">
            <w:pPr>
              <w:rPr>
                <w:rFonts w:ascii="Calibri" w:eastAsiaTheme="minorHAnsi" w:hAnsi="Calibri" w:cs="Calibri"/>
                <w:sz w:val="20"/>
              </w:rPr>
            </w:pPr>
            <w:r>
              <w:rPr>
                <w:sz w:val="20"/>
              </w:rPr>
              <w:t>Clinical Judgment</w:t>
            </w:r>
          </w:p>
        </w:tc>
      </w:tr>
      <w:tr w:rsidR="00CF125A" w14:paraId="356D189F" w14:textId="77777777" w:rsidTr="001466A6">
        <w:trPr>
          <w:trHeight w:val="314"/>
        </w:trPr>
        <w:tc>
          <w:tcPr>
            <w:tcW w:w="1429" w:type="pct"/>
            <w:hideMark/>
          </w:tcPr>
          <w:p w14:paraId="5B75D974" w14:textId="1C01C783" w:rsidR="00CF125A" w:rsidRPr="001466A6" w:rsidRDefault="00CF125A">
            <w:pPr>
              <w:pStyle w:val="NormalWeb"/>
              <w:rPr>
                <w:rFonts w:eastAsiaTheme="minorHAnsi"/>
                <w:color w:val="000000" w:themeColor="text1"/>
                <w:sz w:val="20"/>
                <w:szCs w:val="20"/>
              </w:rPr>
            </w:pPr>
            <w:r w:rsidRPr="00334ED7">
              <w:rPr>
                <w:color w:val="000000" w:themeColor="text1"/>
                <w:sz w:val="20"/>
                <w:szCs w:val="20"/>
              </w:rPr>
              <w:t>Atovaquone/proguanil</w:t>
            </w:r>
          </w:p>
        </w:tc>
        <w:tc>
          <w:tcPr>
            <w:tcW w:w="580" w:type="pct"/>
          </w:tcPr>
          <w:p w14:paraId="3C6705AF" w14:textId="0B4FA3D1" w:rsidR="00CF125A" w:rsidRPr="00334ED7" w:rsidRDefault="00CF125A">
            <w:pPr>
              <w:rPr>
                <w:rFonts w:eastAsiaTheme="minorHAnsi"/>
                <w:sz w:val="20"/>
              </w:rPr>
            </w:pPr>
            <w:r w:rsidRPr="00334ED7">
              <w:rPr>
                <w:sz w:val="20"/>
              </w:rPr>
              <w:t>None</w:t>
            </w:r>
          </w:p>
        </w:tc>
        <w:tc>
          <w:tcPr>
            <w:tcW w:w="747" w:type="pct"/>
          </w:tcPr>
          <w:p w14:paraId="0C9DEF27" w14:textId="094C3763" w:rsidR="00CF125A" w:rsidRPr="00334ED7" w:rsidRDefault="00CF125A">
            <w:pPr>
              <w:rPr>
                <w:rFonts w:eastAsiaTheme="minorHAnsi"/>
                <w:sz w:val="20"/>
              </w:rPr>
            </w:pPr>
            <w:r w:rsidRPr="00334ED7">
              <w:rPr>
                <w:sz w:val="20"/>
              </w:rPr>
              <w:t>None</w:t>
            </w:r>
          </w:p>
        </w:tc>
        <w:tc>
          <w:tcPr>
            <w:tcW w:w="498" w:type="pct"/>
          </w:tcPr>
          <w:p w14:paraId="61EDCCFD" w14:textId="4BF575C1" w:rsidR="00CF125A" w:rsidRPr="00334ED7" w:rsidRDefault="00CF125A">
            <w:pPr>
              <w:rPr>
                <w:rFonts w:eastAsiaTheme="minorHAnsi"/>
                <w:sz w:val="20"/>
              </w:rPr>
            </w:pPr>
            <w:r w:rsidRPr="00334ED7">
              <w:rPr>
                <w:sz w:val="20"/>
              </w:rPr>
              <w:t>None</w:t>
            </w:r>
          </w:p>
        </w:tc>
        <w:tc>
          <w:tcPr>
            <w:tcW w:w="1746" w:type="pct"/>
          </w:tcPr>
          <w:p w14:paraId="30922FBF" w14:textId="6C6ADABD" w:rsidR="00CF125A" w:rsidRPr="001466A6" w:rsidRDefault="00CF125A">
            <w:pPr>
              <w:rPr>
                <w:rFonts w:eastAsiaTheme="minorHAnsi"/>
                <w:sz w:val="20"/>
              </w:rPr>
            </w:pPr>
            <w:proofErr w:type="spellStart"/>
            <w:r w:rsidRPr="00334ED7">
              <w:rPr>
                <w:sz w:val="20"/>
              </w:rPr>
              <w:t>Atovaquone</w:t>
            </w:r>
            <w:proofErr w:type="spellEnd"/>
            <w:r w:rsidR="001466A6">
              <w:rPr>
                <w:rFonts w:eastAsiaTheme="minorHAnsi"/>
                <w:sz w:val="20"/>
              </w:rPr>
              <w:t xml:space="preserve">, </w:t>
            </w:r>
            <w:proofErr w:type="spellStart"/>
            <w:r w:rsidRPr="00334ED7">
              <w:rPr>
                <w:sz w:val="20"/>
              </w:rPr>
              <w:t>Atovastatin</w:t>
            </w:r>
            <w:proofErr w:type="spellEnd"/>
            <w:r w:rsidRPr="00334ED7">
              <w:rPr>
                <w:sz w:val="20"/>
              </w:rPr>
              <w:t>/</w:t>
            </w:r>
            <w:proofErr w:type="spellStart"/>
            <w:r w:rsidRPr="00334ED7">
              <w:rPr>
                <w:sz w:val="20"/>
              </w:rPr>
              <w:t>ezetimibe</w:t>
            </w:r>
            <w:proofErr w:type="spellEnd"/>
          </w:p>
          <w:p w14:paraId="17D3DA5E" w14:textId="2834C43F" w:rsidR="00CF125A" w:rsidRPr="001466A6" w:rsidRDefault="00CF125A">
            <w:pPr>
              <w:rPr>
                <w:sz w:val="20"/>
              </w:rPr>
            </w:pPr>
          </w:p>
        </w:tc>
      </w:tr>
      <w:tr w:rsidR="001466A6" w14:paraId="573A4EB6" w14:textId="77777777" w:rsidTr="001466A6">
        <w:trPr>
          <w:trHeight w:val="377"/>
        </w:trPr>
        <w:tc>
          <w:tcPr>
            <w:tcW w:w="1429" w:type="pct"/>
          </w:tcPr>
          <w:p w14:paraId="7DAD02FC" w14:textId="06EBB816" w:rsidR="001466A6" w:rsidRPr="00334ED7" w:rsidRDefault="001466A6">
            <w:pPr>
              <w:pStyle w:val="NormalWeb"/>
              <w:rPr>
                <w:color w:val="000000" w:themeColor="text1"/>
                <w:sz w:val="20"/>
                <w:szCs w:val="20"/>
              </w:rPr>
            </w:pPr>
            <w:proofErr w:type="spellStart"/>
            <w:r w:rsidRPr="00334ED7">
              <w:rPr>
                <w:color w:val="000000" w:themeColor="text1"/>
                <w:sz w:val="20"/>
                <w:szCs w:val="20"/>
              </w:rPr>
              <w:t>Malarone</w:t>
            </w:r>
            <w:proofErr w:type="spellEnd"/>
          </w:p>
        </w:tc>
        <w:tc>
          <w:tcPr>
            <w:tcW w:w="580" w:type="pct"/>
          </w:tcPr>
          <w:p w14:paraId="7158797A" w14:textId="4D7CDE6F" w:rsidR="001466A6" w:rsidRPr="00334ED7" w:rsidRDefault="001466A6">
            <w:pPr>
              <w:rPr>
                <w:sz w:val="20"/>
              </w:rPr>
            </w:pPr>
            <w:r w:rsidRPr="00334ED7">
              <w:rPr>
                <w:sz w:val="20"/>
              </w:rPr>
              <w:t>None</w:t>
            </w:r>
          </w:p>
        </w:tc>
        <w:tc>
          <w:tcPr>
            <w:tcW w:w="747" w:type="pct"/>
          </w:tcPr>
          <w:p w14:paraId="6A3927F1" w14:textId="7F763AA3" w:rsidR="001466A6" w:rsidRPr="00334ED7" w:rsidRDefault="001466A6">
            <w:pPr>
              <w:rPr>
                <w:sz w:val="20"/>
              </w:rPr>
            </w:pPr>
            <w:r w:rsidRPr="00334ED7">
              <w:rPr>
                <w:sz w:val="20"/>
              </w:rPr>
              <w:t>None</w:t>
            </w:r>
          </w:p>
        </w:tc>
        <w:tc>
          <w:tcPr>
            <w:tcW w:w="498" w:type="pct"/>
          </w:tcPr>
          <w:p w14:paraId="2DBE34AC" w14:textId="1A403207" w:rsidR="001466A6" w:rsidRPr="00334ED7" w:rsidRDefault="001466A6">
            <w:pPr>
              <w:rPr>
                <w:sz w:val="20"/>
              </w:rPr>
            </w:pPr>
            <w:r w:rsidRPr="00334ED7">
              <w:rPr>
                <w:sz w:val="20"/>
              </w:rPr>
              <w:t>None</w:t>
            </w:r>
          </w:p>
        </w:tc>
        <w:tc>
          <w:tcPr>
            <w:tcW w:w="1746" w:type="pct"/>
          </w:tcPr>
          <w:p w14:paraId="74F78871" w14:textId="0B596AA6" w:rsidR="001466A6" w:rsidRPr="00334ED7" w:rsidRDefault="001466A6">
            <w:pPr>
              <w:rPr>
                <w:sz w:val="20"/>
              </w:rPr>
            </w:pPr>
            <w:proofErr w:type="spellStart"/>
            <w:r w:rsidRPr="00334ED7">
              <w:rPr>
                <w:sz w:val="20"/>
              </w:rPr>
              <w:t>Mepron</w:t>
            </w:r>
            <w:proofErr w:type="spellEnd"/>
            <w:r>
              <w:rPr>
                <w:sz w:val="20"/>
              </w:rPr>
              <w:t xml:space="preserve">, </w:t>
            </w:r>
            <w:r w:rsidRPr="00334ED7">
              <w:rPr>
                <w:sz w:val="20"/>
              </w:rPr>
              <w:t>Malathion</w:t>
            </w:r>
          </w:p>
        </w:tc>
      </w:tr>
    </w:tbl>
    <w:p w14:paraId="40313F68" w14:textId="2621CBFE" w:rsidR="00537E8D" w:rsidRPr="00B968AE" w:rsidRDefault="00537E8D">
      <w:pPr>
        <w:pStyle w:val="Heading1"/>
        <w:rPr>
          <w:rFonts w:ascii="Times New Roman" w:hAnsi="Times New Roman"/>
          <w:szCs w:val="22"/>
          <w:u w:val="none"/>
        </w:rPr>
      </w:pPr>
      <w:r w:rsidRPr="00B968AE">
        <w:rPr>
          <w:rFonts w:ascii="Times New Roman" w:hAnsi="Times New Roman"/>
          <w:szCs w:val="22"/>
        </w:rPr>
        <w:t>Drug Interactions</w:t>
      </w:r>
      <w:r w:rsidR="00D31427" w:rsidRPr="00B968AE">
        <w:rPr>
          <w:rFonts w:ascii="Times New Roman" w:hAnsi="Times New Roman"/>
          <w:szCs w:val="22"/>
        </w:rPr>
        <w:t xml:space="preserve"> </w:t>
      </w:r>
      <w:r w:rsidR="00D31427" w:rsidRPr="00E7153A">
        <w:rPr>
          <w:rFonts w:ascii="Times New Roman" w:hAnsi="Times New Roman"/>
          <w:b w:val="0"/>
          <w:szCs w:val="22"/>
          <w:u w:val="none"/>
          <w:vertAlign w:val="superscript"/>
        </w:rPr>
        <w:t>1</w:t>
      </w:r>
      <w:proofErr w:type="gramStart"/>
      <w:r w:rsidR="00D31427" w:rsidRPr="00E7153A">
        <w:rPr>
          <w:rFonts w:ascii="Times New Roman" w:hAnsi="Times New Roman"/>
          <w:b w:val="0"/>
          <w:szCs w:val="22"/>
          <w:u w:val="none"/>
          <w:vertAlign w:val="superscript"/>
        </w:rPr>
        <w:t>,</w:t>
      </w:r>
      <w:r w:rsidR="00221A78" w:rsidRPr="00E7153A">
        <w:rPr>
          <w:rFonts w:ascii="Times New Roman" w:hAnsi="Times New Roman"/>
          <w:b w:val="0"/>
          <w:szCs w:val="22"/>
          <w:u w:val="none"/>
          <w:vertAlign w:val="superscript"/>
        </w:rPr>
        <w:t>3</w:t>
      </w:r>
      <w:proofErr w:type="gramEnd"/>
      <w:r w:rsidR="00E7153A" w:rsidRPr="00E7153A">
        <w:rPr>
          <w:rFonts w:ascii="Times New Roman" w:hAnsi="Times New Roman"/>
          <w:b w:val="0"/>
          <w:szCs w:val="22"/>
          <w:u w:val="none"/>
          <w:vertAlign w:val="superscript"/>
        </w:rPr>
        <w:t xml:space="preserve">-4, </w:t>
      </w:r>
      <w:r w:rsidR="008C53A5">
        <w:rPr>
          <w:rFonts w:ascii="Times New Roman" w:hAnsi="Times New Roman"/>
          <w:b w:val="0"/>
          <w:szCs w:val="22"/>
          <w:u w:val="none"/>
          <w:vertAlign w:val="superscript"/>
        </w:rPr>
        <w:t>21-</w:t>
      </w:r>
      <w:r w:rsidR="00E7153A" w:rsidRPr="00E7153A">
        <w:rPr>
          <w:rFonts w:ascii="Times New Roman" w:hAnsi="Times New Roman"/>
          <w:b w:val="0"/>
          <w:szCs w:val="22"/>
          <w:u w:val="none"/>
          <w:vertAlign w:val="superscript"/>
        </w:rPr>
        <w:t>2</w:t>
      </w:r>
      <w:r w:rsidR="00E9403D">
        <w:rPr>
          <w:rFonts w:ascii="Times New Roman" w:hAnsi="Times New Roman"/>
          <w:b w:val="0"/>
          <w:szCs w:val="22"/>
          <w:u w:val="none"/>
          <w:vertAlign w:val="superscript"/>
        </w:rPr>
        <w:t>2</w:t>
      </w:r>
    </w:p>
    <w:p w14:paraId="2E380E20" w14:textId="54D51718" w:rsidR="002F66FC" w:rsidRPr="00BA6567" w:rsidRDefault="00034650">
      <w:pPr>
        <w:rPr>
          <w:szCs w:val="22"/>
        </w:rPr>
      </w:pPr>
      <w:r>
        <w:rPr>
          <w:szCs w:val="22"/>
        </w:rPr>
        <w:t>The metabolism</w:t>
      </w:r>
      <w:r w:rsidR="00BA6567">
        <w:rPr>
          <w:szCs w:val="22"/>
        </w:rPr>
        <w:t xml:space="preserve"> of atovaquone is not well understood. Atovaquone is</w:t>
      </w:r>
      <w:r w:rsidR="0027751D">
        <w:rPr>
          <w:szCs w:val="22"/>
        </w:rPr>
        <w:t xml:space="preserve"> excreted unchanged in the fece</w:t>
      </w:r>
      <w:r w:rsidR="000A562C">
        <w:rPr>
          <w:szCs w:val="22"/>
        </w:rPr>
        <w:t>s</w:t>
      </w:r>
      <w:r w:rsidR="00BA6567">
        <w:rPr>
          <w:szCs w:val="22"/>
        </w:rPr>
        <w:t xml:space="preserve"> </w:t>
      </w:r>
      <w:r w:rsidR="000A562C">
        <w:rPr>
          <w:szCs w:val="22"/>
        </w:rPr>
        <w:t>and less</w:t>
      </w:r>
      <w:r w:rsidR="00BA6567">
        <w:rPr>
          <w:szCs w:val="22"/>
        </w:rPr>
        <w:t xml:space="preserve"> than 0.6% of the drug is found in the urine.  Proguani</w:t>
      </w:r>
      <w:r w:rsidR="00B01C2D">
        <w:rPr>
          <w:szCs w:val="22"/>
        </w:rPr>
        <w:t xml:space="preserve">l is metabolized to </w:t>
      </w:r>
      <w:proofErr w:type="spellStart"/>
      <w:r w:rsidR="00B01C2D">
        <w:rPr>
          <w:szCs w:val="22"/>
        </w:rPr>
        <w:t>cycloguanil</w:t>
      </w:r>
      <w:proofErr w:type="spellEnd"/>
      <w:r w:rsidR="00B01C2D">
        <w:rPr>
          <w:szCs w:val="22"/>
        </w:rPr>
        <w:t xml:space="preserve"> </w:t>
      </w:r>
      <w:r w:rsidR="00BA6567">
        <w:rPr>
          <w:szCs w:val="22"/>
        </w:rPr>
        <w:t>primarily via CYP2C19</w:t>
      </w:r>
      <w:r w:rsidR="00B01C2D">
        <w:rPr>
          <w:szCs w:val="22"/>
        </w:rPr>
        <w:t xml:space="preserve"> and 4-chlorophenylbiguanide with 40-60% of proguanil is excreted by the kidneys.</w:t>
      </w:r>
    </w:p>
    <w:p w14:paraId="156C9610" w14:textId="77777777" w:rsidR="00BA6567" w:rsidRDefault="00BA6567">
      <w:pPr>
        <w:rPr>
          <w:b/>
          <w:szCs w:val="22"/>
        </w:rPr>
      </w:pPr>
    </w:p>
    <w:p w14:paraId="1FA968FC" w14:textId="1246428D" w:rsidR="00045382" w:rsidRPr="00B968AE" w:rsidRDefault="006415EB">
      <w:pPr>
        <w:rPr>
          <w:szCs w:val="22"/>
        </w:rPr>
      </w:pPr>
      <w:r w:rsidRPr="00B968AE">
        <w:rPr>
          <w:b/>
          <w:szCs w:val="22"/>
        </w:rPr>
        <w:t xml:space="preserve">Rifampin, </w:t>
      </w:r>
      <w:proofErr w:type="spellStart"/>
      <w:r w:rsidRPr="00B968AE">
        <w:rPr>
          <w:b/>
          <w:szCs w:val="22"/>
        </w:rPr>
        <w:t>rifabutin</w:t>
      </w:r>
      <w:proofErr w:type="spellEnd"/>
      <w:r w:rsidRPr="00B968AE">
        <w:rPr>
          <w:b/>
          <w:szCs w:val="22"/>
        </w:rPr>
        <w:t>:</w:t>
      </w:r>
      <w:r w:rsidRPr="00B968AE">
        <w:rPr>
          <w:szCs w:val="22"/>
        </w:rPr>
        <w:t xml:space="preserve"> </w:t>
      </w:r>
      <w:r w:rsidR="00694781" w:rsidRPr="00B968AE">
        <w:rPr>
          <w:szCs w:val="22"/>
        </w:rPr>
        <w:t xml:space="preserve">There is a lack of studies on </w:t>
      </w:r>
      <w:proofErr w:type="spellStart"/>
      <w:r w:rsidR="00694781" w:rsidRPr="00B968AE">
        <w:rPr>
          <w:szCs w:val="22"/>
        </w:rPr>
        <w:t>rifabutin</w:t>
      </w:r>
      <w:proofErr w:type="spellEnd"/>
      <w:r w:rsidR="00694781" w:rsidRPr="00B968AE">
        <w:rPr>
          <w:szCs w:val="22"/>
        </w:rPr>
        <w:t xml:space="preserve">, rifampin and </w:t>
      </w:r>
      <w:proofErr w:type="spellStart"/>
      <w:r w:rsidR="00694781" w:rsidRPr="00B968AE">
        <w:rPr>
          <w:szCs w:val="22"/>
        </w:rPr>
        <w:t>atovaquone</w:t>
      </w:r>
      <w:proofErr w:type="spellEnd"/>
      <w:r w:rsidR="00694781" w:rsidRPr="00B968AE">
        <w:rPr>
          <w:szCs w:val="22"/>
        </w:rPr>
        <w:t>/</w:t>
      </w:r>
      <w:proofErr w:type="spellStart"/>
      <w:r w:rsidR="00694781" w:rsidRPr="00B968AE">
        <w:rPr>
          <w:szCs w:val="22"/>
        </w:rPr>
        <w:t>proguanil</w:t>
      </w:r>
      <w:proofErr w:type="spellEnd"/>
      <w:r w:rsidR="00694781" w:rsidRPr="00B968AE">
        <w:rPr>
          <w:szCs w:val="22"/>
        </w:rPr>
        <w:t xml:space="preserve"> co-administration for malaria prophylaxis and treatment. However, studies that used </w:t>
      </w:r>
      <w:r w:rsidR="00E7583C" w:rsidRPr="00B968AE">
        <w:rPr>
          <w:szCs w:val="22"/>
        </w:rPr>
        <w:t xml:space="preserve">atovaquone in the treatment of </w:t>
      </w:r>
      <w:r w:rsidR="00E7583C" w:rsidRPr="00B968AE">
        <w:rPr>
          <w:i/>
          <w:szCs w:val="22"/>
        </w:rPr>
        <w:t xml:space="preserve">Toxoplasma </w:t>
      </w:r>
      <w:proofErr w:type="spellStart"/>
      <w:r w:rsidR="00E7583C" w:rsidRPr="00B968AE">
        <w:rPr>
          <w:i/>
          <w:szCs w:val="22"/>
        </w:rPr>
        <w:t>gondii</w:t>
      </w:r>
      <w:proofErr w:type="spellEnd"/>
      <w:r w:rsidR="00E7583C" w:rsidRPr="00B968AE">
        <w:rPr>
          <w:szCs w:val="22"/>
        </w:rPr>
        <w:t xml:space="preserve"> sh</w:t>
      </w:r>
      <w:r w:rsidR="00694781" w:rsidRPr="00B968AE">
        <w:rPr>
          <w:szCs w:val="22"/>
        </w:rPr>
        <w:t xml:space="preserve">owed that </w:t>
      </w:r>
      <w:proofErr w:type="spellStart"/>
      <w:r w:rsidR="00694781" w:rsidRPr="00B968AE">
        <w:rPr>
          <w:szCs w:val="22"/>
        </w:rPr>
        <w:t>atovaquone</w:t>
      </w:r>
      <w:proofErr w:type="spellEnd"/>
      <w:r w:rsidR="00694781" w:rsidRPr="00B968AE">
        <w:rPr>
          <w:szCs w:val="22"/>
        </w:rPr>
        <w:t xml:space="preserve"> area under the cure (AUC) decreased remarkably (50%) when combined with rifampin and by 34% with </w:t>
      </w:r>
      <w:proofErr w:type="spellStart"/>
      <w:r w:rsidR="00694781" w:rsidRPr="00B968AE">
        <w:rPr>
          <w:szCs w:val="22"/>
        </w:rPr>
        <w:t>rifabutin</w:t>
      </w:r>
      <w:proofErr w:type="spellEnd"/>
      <w:r w:rsidR="00B07FC2">
        <w:rPr>
          <w:szCs w:val="22"/>
        </w:rPr>
        <w:t xml:space="preserve">. </w:t>
      </w:r>
      <w:r w:rsidR="003F03BD" w:rsidRPr="00B968AE">
        <w:rPr>
          <w:szCs w:val="22"/>
        </w:rPr>
        <w:t xml:space="preserve"> Overall, </w:t>
      </w:r>
      <w:r w:rsidR="00B07FC2">
        <w:rPr>
          <w:szCs w:val="22"/>
        </w:rPr>
        <w:t xml:space="preserve">the manufacturer does not recommend </w:t>
      </w:r>
      <w:r w:rsidR="003F03BD" w:rsidRPr="00B968AE">
        <w:rPr>
          <w:szCs w:val="22"/>
        </w:rPr>
        <w:t>concomitant administration of atovaquone/proguani</w:t>
      </w:r>
      <w:r w:rsidR="00056D4C">
        <w:rPr>
          <w:szCs w:val="22"/>
        </w:rPr>
        <w:t xml:space="preserve">l with </w:t>
      </w:r>
      <w:r w:rsidR="003F03BD" w:rsidRPr="00B968AE">
        <w:rPr>
          <w:szCs w:val="22"/>
        </w:rPr>
        <w:t xml:space="preserve">rifampin or </w:t>
      </w:r>
      <w:proofErr w:type="spellStart"/>
      <w:r w:rsidR="003F03BD" w:rsidRPr="00B968AE">
        <w:rPr>
          <w:szCs w:val="22"/>
        </w:rPr>
        <w:t>rifabutin</w:t>
      </w:r>
      <w:proofErr w:type="spellEnd"/>
      <w:r w:rsidR="00B07FC2">
        <w:rPr>
          <w:szCs w:val="22"/>
        </w:rPr>
        <w:t xml:space="preserve">. </w:t>
      </w:r>
    </w:p>
    <w:p w14:paraId="7609CC35" w14:textId="77777777" w:rsidR="000C14CC" w:rsidRPr="00B968AE" w:rsidRDefault="000C14CC" w:rsidP="0088099A">
      <w:pPr>
        <w:rPr>
          <w:szCs w:val="22"/>
        </w:rPr>
      </w:pPr>
    </w:p>
    <w:p w14:paraId="70EBF8EC" w14:textId="378A01A1" w:rsidR="000C2B09" w:rsidRDefault="000C2B09" w:rsidP="0088099A">
      <w:pPr>
        <w:rPr>
          <w:szCs w:val="22"/>
        </w:rPr>
      </w:pPr>
      <w:r w:rsidRPr="00B968AE">
        <w:rPr>
          <w:b/>
          <w:szCs w:val="22"/>
        </w:rPr>
        <w:t>Metoclopramide:</w:t>
      </w:r>
      <w:r w:rsidRPr="00B968AE">
        <w:rPr>
          <w:szCs w:val="22"/>
        </w:rPr>
        <w:t xml:space="preserve"> According to atovaquone/proguanil prescribing information, concurrent use of atovaquone with metoclopramide has been associated with reduced atovaquone bioavailability.</w:t>
      </w:r>
      <w:r w:rsidR="00875690" w:rsidRPr="00B968AE">
        <w:rPr>
          <w:szCs w:val="22"/>
        </w:rPr>
        <w:t xml:space="preserve"> </w:t>
      </w:r>
      <w:r w:rsidRPr="00B968AE">
        <w:rPr>
          <w:szCs w:val="22"/>
        </w:rPr>
        <w:t xml:space="preserve">As a result, atovaquone should only be used with metoclopramide if no other </w:t>
      </w:r>
      <w:proofErr w:type="spellStart"/>
      <w:r w:rsidR="006B0B50" w:rsidRPr="00B968AE">
        <w:rPr>
          <w:szCs w:val="22"/>
        </w:rPr>
        <w:t>antiemetics</w:t>
      </w:r>
      <w:proofErr w:type="spellEnd"/>
      <w:r w:rsidR="001466A6">
        <w:rPr>
          <w:szCs w:val="22"/>
        </w:rPr>
        <w:t xml:space="preserve"> are available.  </w:t>
      </w:r>
      <w:r w:rsidRPr="00B968AE">
        <w:rPr>
          <w:szCs w:val="22"/>
        </w:rPr>
        <w:t xml:space="preserve">The specific mechanism for this </w:t>
      </w:r>
      <w:r w:rsidRPr="00B968AE">
        <w:rPr>
          <w:szCs w:val="22"/>
        </w:rPr>
        <w:lastRenderedPageBreak/>
        <w:t>interaction is uncertain, but increased intestinal motility due to the actions of metoclopramide leading to decreased atovaquone absorption is likely to be at least partially responsible.</w:t>
      </w:r>
    </w:p>
    <w:p w14:paraId="2B6ADBAF" w14:textId="77777777" w:rsidR="0096563A" w:rsidRDefault="0096563A" w:rsidP="0088099A">
      <w:pPr>
        <w:rPr>
          <w:szCs w:val="22"/>
        </w:rPr>
      </w:pPr>
    </w:p>
    <w:p w14:paraId="054F6D34" w14:textId="77777777" w:rsidR="00815DF5" w:rsidRPr="00B968AE" w:rsidRDefault="00815DF5" w:rsidP="00815DF5">
      <w:pPr>
        <w:rPr>
          <w:szCs w:val="22"/>
        </w:rPr>
      </w:pPr>
      <w:r w:rsidRPr="00815DF5">
        <w:rPr>
          <w:b/>
          <w:szCs w:val="22"/>
        </w:rPr>
        <w:t>Folate supplement:</w:t>
      </w:r>
      <w:r>
        <w:rPr>
          <w:szCs w:val="22"/>
        </w:rPr>
        <w:t xml:space="preserve"> </w:t>
      </w:r>
      <w:r w:rsidRPr="00B968AE">
        <w:rPr>
          <w:szCs w:val="22"/>
        </w:rPr>
        <w:t xml:space="preserve">While proguanil acts by inhibiting the parasitic </w:t>
      </w:r>
      <w:proofErr w:type="spellStart"/>
      <w:r w:rsidRPr="00B968AE">
        <w:rPr>
          <w:szCs w:val="22"/>
        </w:rPr>
        <w:t>dihydrofolate</w:t>
      </w:r>
      <w:proofErr w:type="spellEnd"/>
      <w:r w:rsidRPr="00B968AE">
        <w:rPr>
          <w:szCs w:val="22"/>
        </w:rPr>
        <w:t xml:space="preserve"> reduction, there is no clinical data indicated that folate supplementation diminishes drug efficacy. The manufacturer recommended women of childbearing age receiving folate supplements to prevent neural tube defects should continue the supplement while taking atovaquone/proguanil. </w:t>
      </w:r>
    </w:p>
    <w:p w14:paraId="387720A8" w14:textId="29D5ACB5" w:rsidR="00815DF5" w:rsidRDefault="00815DF5" w:rsidP="0088099A">
      <w:pPr>
        <w:rPr>
          <w:szCs w:val="22"/>
        </w:rPr>
      </w:pPr>
    </w:p>
    <w:p w14:paraId="3D7AA1F7" w14:textId="23827E4E" w:rsidR="0096563A" w:rsidRDefault="00615A90" w:rsidP="0088099A">
      <w:pPr>
        <w:rPr>
          <w:szCs w:val="22"/>
        </w:rPr>
      </w:pPr>
      <w:r w:rsidRPr="00615A90">
        <w:rPr>
          <w:b/>
          <w:szCs w:val="22"/>
        </w:rPr>
        <w:t>Warfarin:</w:t>
      </w:r>
      <w:r w:rsidR="000C6DD3">
        <w:rPr>
          <w:szCs w:val="22"/>
        </w:rPr>
        <w:t xml:space="preserve"> </w:t>
      </w:r>
      <w:r w:rsidR="00D53B0E">
        <w:rPr>
          <w:szCs w:val="22"/>
        </w:rPr>
        <w:t>A</w:t>
      </w:r>
      <w:r w:rsidR="000C6DD3">
        <w:rPr>
          <w:szCs w:val="22"/>
        </w:rPr>
        <w:t>tovaquone/proguanil</w:t>
      </w:r>
      <w:r w:rsidR="00D53B0E">
        <w:rPr>
          <w:szCs w:val="22"/>
        </w:rPr>
        <w:t xml:space="preserve"> may potentiate the anticoagulant effect of warfarin. The mechanism of this potential drug interaction has not been established. The manufacturer recommended that when atovaquone/proguanil is administered with warfarin concomitantly, suitable coagulation tests should be closely monitored. </w:t>
      </w:r>
    </w:p>
    <w:p w14:paraId="41FBC94C" w14:textId="77777777" w:rsidR="000C6DD3" w:rsidRDefault="000C6DD3" w:rsidP="0088099A">
      <w:pPr>
        <w:rPr>
          <w:szCs w:val="22"/>
        </w:rPr>
      </w:pPr>
    </w:p>
    <w:p w14:paraId="1B395A14" w14:textId="693971F9" w:rsidR="00E568D1" w:rsidRPr="00B968AE" w:rsidRDefault="00D53B0E" w:rsidP="0088099A">
      <w:pPr>
        <w:rPr>
          <w:szCs w:val="22"/>
        </w:rPr>
      </w:pPr>
      <w:r w:rsidRPr="00615A90">
        <w:rPr>
          <w:b/>
          <w:szCs w:val="22"/>
        </w:rPr>
        <w:t>Antiretroviral therapy:</w:t>
      </w:r>
      <w:r>
        <w:rPr>
          <w:szCs w:val="22"/>
        </w:rPr>
        <w:t xml:space="preserve"> Concomitant of </w:t>
      </w:r>
      <w:proofErr w:type="spellStart"/>
      <w:r>
        <w:rPr>
          <w:szCs w:val="22"/>
        </w:rPr>
        <w:t>atovaquone</w:t>
      </w:r>
      <w:proofErr w:type="spellEnd"/>
      <w:r>
        <w:rPr>
          <w:szCs w:val="22"/>
        </w:rPr>
        <w:t>/</w:t>
      </w:r>
      <w:proofErr w:type="spellStart"/>
      <w:r>
        <w:rPr>
          <w:szCs w:val="22"/>
        </w:rPr>
        <w:t>proguanil</w:t>
      </w:r>
      <w:proofErr w:type="spellEnd"/>
      <w:r>
        <w:rPr>
          <w:szCs w:val="22"/>
        </w:rPr>
        <w:t xml:space="preserve"> with </w:t>
      </w:r>
      <w:proofErr w:type="spellStart"/>
      <w:r>
        <w:rPr>
          <w:szCs w:val="22"/>
        </w:rPr>
        <w:t>lopinavir</w:t>
      </w:r>
      <w:proofErr w:type="spellEnd"/>
      <w:r>
        <w:rPr>
          <w:szCs w:val="22"/>
        </w:rPr>
        <w:t xml:space="preserve">/ritonavir </w:t>
      </w:r>
      <w:r w:rsidR="00EE7DD9">
        <w:rPr>
          <w:szCs w:val="22"/>
        </w:rPr>
        <w:t xml:space="preserve">(LPV/r) </w:t>
      </w:r>
      <w:r>
        <w:rPr>
          <w:szCs w:val="22"/>
        </w:rPr>
        <w:t xml:space="preserve">or </w:t>
      </w:r>
      <w:proofErr w:type="spellStart"/>
      <w:r>
        <w:rPr>
          <w:szCs w:val="22"/>
        </w:rPr>
        <w:t>atazanavir</w:t>
      </w:r>
      <w:proofErr w:type="spellEnd"/>
      <w:r>
        <w:rPr>
          <w:szCs w:val="22"/>
        </w:rPr>
        <w:t xml:space="preserve">/ritonavir </w:t>
      </w:r>
      <w:r w:rsidR="00EE7DD9">
        <w:rPr>
          <w:szCs w:val="22"/>
        </w:rPr>
        <w:t xml:space="preserve">(ATV/r) did result in a decrease of AUC by 74% and 46%, respectively for LPV/r and ATV/r.  When </w:t>
      </w:r>
      <w:proofErr w:type="spellStart"/>
      <w:r w:rsidR="00EE7DD9">
        <w:rPr>
          <w:szCs w:val="22"/>
        </w:rPr>
        <w:t>atovaquone</w:t>
      </w:r>
      <w:proofErr w:type="spellEnd"/>
      <w:r w:rsidR="00EE7DD9">
        <w:rPr>
          <w:szCs w:val="22"/>
        </w:rPr>
        <w:t>/</w:t>
      </w:r>
      <w:proofErr w:type="spellStart"/>
      <w:r w:rsidR="00445F79">
        <w:rPr>
          <w:szCs w:val="22"/>
        </w:rPr>
        <w:t>progunail</w:t>
      </w:r>
      <w:proofErr w:type="spellEnd"/>
      <w:r w:rsidR="00445F79">
        <w:rPr>
          <w:szCs w:val="22"/>
        </w:rPr>
        <w:t xml:space="preserve"> is administered with e</w:t>
      </w:r>
      <w:r w:rsidR="00EE7DD9">
        <w:rPr>
          <w:szCs w:val="22"/>
        </w:rPr>
        <w:t>favirenz, the AUC decreases approximately by 70% for atovaquone and 50% for proguanil. The Department of Health and Human Services (DHHS</w:t>
      </w:r>
      <w:r w:rsidR="00977336">
        <w:rPr>
          <w:szCs w:val="22"/>
        </w:rPr>
        <w:t xml:space="preserve">) </w:t>
      </w:r>
      <w:r w:rsidR="00867753">
        <w:rPr>
          <w:szCs w:val="22"/>
        </w:rPr>
        <w:t xml:space="preserve">Guidelines for the Use of </w:t>
      </w:r>
      <w:proofErr w:type="spellStart"/>
      <w:r w:rsidR="00867753">
        <w:rPr>
          <w:szCs w:val="22"/>
        </w:rPr>
        <w:t>Antiretrovial</w:t>
      </w:r>
      <w:proofErr w:type="spellEnd"/>
      <w:r w:rsidR="00867753">
        <w:rPr>
          <w:szCs w:val="22"/>
        </w:rPr>
        <w:t xml:space="preserve"> Agents in HIV-1 Infected Adults and Adolescents </w:t>
      </w:r>
      <w:r w:rsidR="00977336">
        <w:rPr>
          <w:szCs w:val="22"/>
        </w:rPr>
        <w:t xml:space="preserve">recommended </w:t>
      </w:r>
      <w:r w:rsidR="00615A90">
        <w:rPr>
          <w:szCs w:val="22"/>
        </w:rPr>
        <w:t>considering</w:t>
      </w:r>
      <w:r w:rsidR="00977336">
        <w:rPr>
          <w:szCs w:val="22"/>
        </w:rPr>
        <w:t xml:space="preserve"> alternative drug for malaria prophylaxis if possible</w:t>
      </w:r>
      <w:r w:rsidR="00B55585">
        <w:rPr>
          <w:szCs w:val="22"/>
        </w:rPr>
        <w:t xml:space="preserve"> when </w:t>
      </w:r>
      <w:proofErr w:type="spellStart"/>
      <w:r w:rsidR="00BC5C28">
        <w:rPr>
          <w:szCs w:val="22"/>
        </w:rPr>
        <w:t>antiretrovirals</w:t>
      </w:r>
      <w:proofErr w:type="spellEnd"/>
      <w:r w:rsidR="00BC5C28">
        <w:rPr>
          <w:szCs w:val="22"/>
        </w:rPr>
        <w:t xml:space="preserve"> (</w:t>
      </w:r>
      <w:proofErr w:type="spellStart"/>
      <w:r w:rsidR="00BC5C28">
        <w:rPr>
          <w:szCs w:val="22"/>
        </w:rPr>
        <w:t>i.e</w:t>
      </w:r>
      <w:proofErr w:type="spellEnd"/>
      <w:r w:rsidR="00BC5C28">
        <w:rPr>
          <w:szCs w:val="22"/>
        </w:rPr>
        <w:t xml:space="preserve"> </w:t>
      </w:r>
      <w:r w:rsidR="00B55585">
        <w:rPr>
          <w:szCs w:val="22"/>
        </w:rPr>
        <w:t>LPV/r, ATV/r</w:t>
      </w:r>
      <w:r w:rsidR="00BC5C28">
        <w:rPr>
          <w:szCs w:val="22"/>
        </w:rPr>
        <w:t xml:space="preserve">, </w:t>
      </w:r>
      <w:proofErr w:type="spellStart"/>
      <w:r w:rsidR="00B55585">
        <w:rPr>
          <w:szCs w:val="22"/>
        </w:rPr>
        <w:t>efavirenz</w:t>
      </w:r>
      <w:proofErr w:type="spellEnd"/>
      <w:r w:rsidR="00BC5C28">
        <w:rPr>
          <w:szCs w:val="22"/>
        </w:rPr>
        <w:t xml:space="preserve">) </w:t>
      </w:r>
      <w:r w:rsidR="00B55585">
        <w:rPr>
          <w:szCs w:val="22"/>
        </w:rPr>
        <w:t xml:space="preserve">are </w:t>
      </w:r>
      <w:r w:rsidR="00977336">
        <w:rPr>
          <w:szCs w:val="22"/>
        </w:rPr>
        <w:t xml:space="preserve">administered concomitantly with atovaquone/proguanil. </w:t>
      </w:r>
      <w:r w:rsidR="00503E08">
        <w:rPr>
          <w:szCs w:val="22"/>
        </w:rPr>
        <w:t xml:space="preserve"> For more information </w:t>
      </w:r>
      <w:r w:rsidR="000A562C">
        <w:rPr>
          <w:szCs w:val="22"/>
        </w:rPr>
        <w:t>on interaction</w:t>
      </w:r>
      <w:r w:rsidR="00EF2A84">
        <w:rPr>
          <w:szCs w:val="22"/>
        </w:rPr>
        <w:t xml:space="preserve"> between </w:t>
      </w:r>
      <w:proofErr w:type="spellStart"/>
      <w:r w:rsidR="00EF2A84">
        <w:rPr>
          <w:szCs w:val="22"/>
        </w:rPr>
        <w:t>atovaquone</w:t>
      </w:r>
      <w:proofErr w:type="spellEnd"/>
      <w:r w:rsidR="00EF2A84">
        <w:rPr>
          <w:szCs w:val="22"/>
        </w:rPr>
        <w:t>/</w:t>
      </w:r>
      <w:proofErr w:type="spellStart"/>
      <w:r w:rsidR="00EF2A84">
        <w:rPr>
          <w:szCs w:val="22"/>
        </w:rPr>
        <w:t>proguanil</w:t>
      </w:r>
      <w:proofErr w:type="spellEnd"/>
      <w:r w:rsidR="00EF2A84">
        <w:rPr>
          <w:szCs w:val="22"/>
        </w:rPr>
        <w:t xml:space="preserve"> and </w:t>
      </w:r>
      <w:proofErr w:type="spellStart"/>
      <w:r w:rsidR="00EF2A84">
        <w:rPr>
          <w:szCs w:val="22"/>
        </w:rPr>
        <w:t>antiretrovial</w:t>
      </w:r>
      <w:r w:rsidR="000A562C">
        <w:rPr>
          <w:szCs w:val="22"/>
        </w:rPr>
        <w:t>s</w:t>
      </w:r>
      <w:proofErr w:type="spellEnd"/>
      <w:r w:rsidR="000A562C">
        <w:rPr>
          <w:szCs w:val="22"/>
        </w:rPr>
        <w:t>, please refer to reference #21</w:t>
      </w:r>
      <w:r w:rsidR="00EF2A84">
        <w:rPr>
          <w:szCs w:val="22"/>
        </w:rPr>
        <w:t>.</w:t>
      </w:r>
    </w:p>
    <w:p w14:paraId="4DF4134E" w14:textId="77777777" w:rsidR="007D447A" w:rsidRPr="00B968AE" w:rsidRDefault="007D447A" w:rsidP="007D447A">
      <w:pPr>
        <w:pStyle w:val="Heading1"/>
        <w:rPr>
          <w:rFonts w:ascii="Times New Roman" w:hAnsi="Times New Roman"/>
          <w:szCs w:val="22"/>
        </w:rPr>
      </w:pPr>
      <w:r w:rsidRPr="00B968AE">
        <w:rPr>
          <w:rFonts w:ascii="Times New Roman" w:hAnsi="Times New Roman"/>
          <w:szCs w:val="22"/>
        </w:rPr>
        <w:t>Acquisition Costs</w:t>
      </w:r>
    </w:p>
    <w:p w14:paraId="017D6805" w14:textId="3D0163F6" w:rsidR="00AE20BD" w:rsidRPr="00B968AE" w:rsidRDefault="007D447A" w:rsidP="007D447A">
      <w:pPr>
        <w:rPr>
          <w:szCs w:val="22"/>
        </w:rPr>
      </w:pPr>
      <w:r w:rsidRPr="00B968AE">
        <w:rPr>
          <w:szCs w:val="22"/>
        </w:rPr>
        <w:t>Please refer to the last page for VA drug acquisition costs.  Prices shown in this internal, draft document may include additional discounts available to VA.  This information is considered strictly confidential and must not be shared outside of VA.  All cost information will be removed from the document when posted to the PBM website.</w:t>
      </w:r>
    </w:p>
    <w:p w14:paraId="3A43194E" w14:textId="77777777" w:rsidR="00537E8D" w:rsidRPr="00B968AE" w:rsidRDefault="00537E8D">
      <w:pPr>
        <w:pStyle w:val="Heading1"/>
        <w:rPr>
          <w:rFonts w:ascii="Times New Roman" w:hAnsi="Times New Roman"/>
          <w:szCs w:val="22"/>
        </w:rPr>
      </w:pPr>
      <w:proofErr w:type="spellStart"/>
      <w:r w:rsidRPr="00B968AE">
        <w:rPr>
          <w:rFonts w:ascii="Times New Roman" w:hAnsi="Times New Roman"/>
          <w:szCs w:val="22"/>
        </w:rPr>
        <w:t>Pharmacoeconomic</w:t>
      </w:r>
      <w:proofErr w:type="spellEnd"/>
      <w:r w:rsidRPr="00B968AE">
        <w:rPr>
          <w:rFonts w:ascii="Times New Roman" w:hAnsi="Times New Roman"/>
          <w:szCs w:val="22"/>
        </w:rPr>
        <w:t xml:space="preserve"> Analysis</w:t>
      </w:r>
    </w:p>
    <w:p w14:paraId="755A7E10" w14:textId="77777777" w:rsidR="00AE20BD" w:rsidRPr="00B968AE" w:rsidRDefault="00AE20BD" w:rsidP="00AE20BD">
      <w:pPr>
        <w:pStyle w:val="BodyText"/>
        <w:rPr>
          <w:rFonts w:ascii="Times New Roman" w:hAnsi="Times New Roman"/>
          <w:color w:val="000000"/>
          <w:sz w:val="22"/>
          <w:szCs w:val="22"/>
        </w:rPr>
      </w:pPr>
      <w:r w:rsidRPr="00B968AE">
        <w:rPr>
          <w:rFonts w:ascii="Times New Roman" w:hAnsi="Times New Roman"/>
          <w:color w:val="000000"/>
          <w:sz w:val="22"/>
          <w:szCs w:val="22"/>
        </w:rPr>
        <w:t xml:space="preserve">No published </w:t>
      </w:r>
      <w:proofErr w:type="spellStart"/>
      <w:r w:rsidRPr="00B968AE">
        <w:rPr>
          <w:rFonts w:ascii="Times New Roman" w:hAnsi="Times New Roman"/>
          <w:color w:val="000000"/>
          <w:sz w:val="22"/>
          <w:szCs w:val="22"/>
        </w:rPr>
        <w:t>pharmacoeconomic</w:t>
      </w:r>
      <w:proofErr w:type="spellEnd"/>
      <w:r w:rsidRPr="00B968AE">
        <w:rPr>
          <w:rFonts w:ascii="Times New Roman" w:hAnsi="Times New Roman"/>
          <w:color w:val="000000"/>
          <w:sz w:val="22"/>
          <w:szCs w:val="22"/>
        </w:rPr>
        <w:t xml:space="preserve"> evaluations are available.</w:t>
      </w:r>
    </w:p>
    <w:p w14:paraId="5135920B" w14:textId="77777777" w:rsidR="00537E8D" w:rsidRPr="00B968AE" w:rsidRDefault="00537E8D">
      <w:pPr>
        <w:pStyle w:val="Heading1"/>
        <w:rPr>
          <w:rFonts w:ascii="Times New Roman" w:hAnsi="Times New Roman"/>
          <w:szCs w:val="22"/>
        </w:rPr>
      </w:pPr>
      <w:r w:rsidRPr="00B968AE">
        <w:rPr>
          <w:rFonts w:ascii="Times New Roman" w:hAnsi="Times New Roman"/>
          <w:szCs w:val="22"/>
        </w:rPr>
        <w:t>Conclusions</w:t>
      </w:r>
    </w:p>
    <w:p w14:paraId="2CD34632" w14:textId="45052B53" w:rsidR="006E1334" w:rsidRPr="006E1334" w:rsidRDefault="006E1334" w:rsidP="00877C50">
      <w:pPr>
        <w:pStyle w:val="ListBullet2"/>
      </w:pPr>
      <w:r>
        <w:t>Overall, f</w:t>
      </w:r>
      <w:r w:rsidRPr="00B968AE">
        <w:t xml:space="preserve">ixed-dose combination atovaquone/proguanil was shown to be efficacious for both prevention and treatment of uncomplicated </w:t>
      </w:r>
      <w:r w:rsidRPr="00ED4259">
        <w:rPr>
          <w:i/>
        </w:rPr>
        <w:t>P</w:t>
      </w:r>
      <w:r w:rsidRPr="00B968AE">
        <w:t xml:space="preserve">. </w:t>
      </w:r>
      <w:r w:rsidRPr="00931AA9">
        <w:rPr>
          <w:i/>
        </w:rPr>
        <w:t>falciparum</w:t>
      </w:r>
      <w:r w:rsidRPr="00B968AE">
        <w:t xml:space="preserve"> malaria, including area</w:t>
      </w:r>
      <w:r>
        <w:t xml:space="preserve">s with chloroquine-resistance.  CDC guidelines provide recommendations for the role of </w:t>
      </w:r>
      <w:r w:rsidRPr="00B968AE">
        <w:t xml:space="preserve">atovaquone/proguanil </w:t>
      </w:r>
      <w:r>
        <w:t xml:space="preserve">for prophylaxis and treatment of malaria.  </w:t>
      </w:r>
      <w:r w:rsidRPr="00B968AE">
        <w:t>Prevention of malaria involves a balance between taking antimalarial drug as prescribed and using the appropriate prevention measures. As for treatment of malaria, clinicians should take in consideration of local information on prevalence of resistance to antimalarial drugs by referring to the C</w:t>
      </w:r>
      <w:r>
        <w:t>DC treatment guidelines</w:t>
      </w:r>
      <w:r w:rsidRPr="00B968AE">
        <w:t xml:space="preserve">. Dietary fat can increase absorption of atovaquone/proguanil, therefore; it is important to take the medication with food or milk. The most commonly reported adverse events associated with atovaquone/proguanil were headache, abdominal pain, nausea, vomiting, and diarrhea.  Overall, atovaquone/proguanil </w:t>
      </w:r>
      <w:r>
        <w:t xml:space="preserve">should be avoided in travelers with </w:t>
      </w:r>
      <w:r w:rsidRPr="00B968AE">
        <w:t xml:space="preserve">history of severe renal impairment, and pregnant or breastfeeding women.  </w:t>
      </w:r>
    </w:p>
    <w:p w14:paraId="5014A349" w14:textId="72D54654" w:rsidR="00ED411B" w:rsidRPr="00B968AE" w:rsidRDefault="003D09B2" w:rsidP="00B968AE">
      <w:pPr>
        <w:pStyle w:val="Heading1"/>
        <w:rPr>
          <w:rFonts w:ascii="Times New Roman" w:hAnsi="Times New Roman"/>
          <w:szCs w:val="22"/>
        </w:rPr>
      </w:pPr>
      <w:r w:rsidRPr="00B968AE">
        <w:rPr>
          <w:rFonts w:ascii="Times New Roman" w:hAnsi="Times New Roman"/>
          <w:szCs w:val="22"/>
        </w:rPr>
        <w:t>References</w:t>
      </w:r>
    </w:p>
    <w:p w14:paraId="42C8FA2A" w14:textId="77777777" w:rsidR="00D31427" w:rsidRPr="00B968AE" w:rsidRDefault="00D31427" w:rsidP="00D31427">
      <w:pPr>
        <w:numPr>
          <w:ilvl w:val="0"/>
          <w:numId w:val="34"/>
        </w:numPr>
        <w:rPr>
          <w:szCs w:val="22"/>
        </w:rPr>
      </w:pPr>
      <w:proofErr w:type="spellStart"/>
      <w:r w:rsidRPr="00B968AE">
        <w:rPr>
          <w:szCs w:val="22"/>
        </w:rPr>
        <w:t>Malarone</w:t>
      </w:r>
      <w:proofErr w:type="spellEnd"/>
      <w:r w:rsidRPr="00B968AE">
        <w:rPr>
          <w:szCs w:val="22"/>
        </w:rPr>
        <w:t xml:space="preserve">® package insert. GlaxoSmithKline, Inc. </w:t>
      </w:r>
      <w:proofErr w:type="spellStart"/>
      <w:r w:rsidRPr="00B968AE">
        <w:rPr>
          <w:szCs w:val="22"/>
        </w:rPr>
        <w:t>Rsearch</w:t>
      </w:r>
      <w:proofErr w:type="spellEnd"/>
      <w:r w:rsidRPr="00B968AE">
        <w:rPr>
          <w:szCs w:val="22"/>
        </w:rPr>
        <w:t xml:space="preserve"> triangle Park, NC 27709</w:t>
      </w:r>
    </w:p>
    <w:p w14:paraId="33320483" w14:textId="77777777" w:rsidR="00D31427" w:rsidRPr="00B968AE" w:rsidRDefault="00D31427" w:rsidP="00D31427">
      <w:pPr>
        <w:numPr>
          <w:ilvl w:val="0"/>
          <w:numId w:val="34"/>
        </w:numPr>
        <w:rPr>
          <w:szCs w:val="22"/>
        </w:rPr>
      </w:pPr>
      <w:r w:rsidRPr="00B968AE">
        <w:rPr>
          <w:szCs w:val="22"/>
        </w:rPr>
        <w:t xml:space="preserve">Krishna S, White NJ. Pharmacokinetics of quinine, </w:t>
      </w:r>
      <w:proofErr w:type="spellStart"/>
      <w:r w:rsidRPr="00B968AE">
        <w:rPr>
          <w:szCs w:val="22"/>
        </w:rPr>
        <w:t>chloroquine</w:t>
      </w:r>
      <w:proofErr w:type="spellEnd"/>
      <w:r w:rsidRPr="00B968AE">
        <w:rPr>
          <w:szCs w:val="22"/>
        </w:rPr>
        <w:t xml:space="preserve"> and </w:t>
      </w:r>
      <w:proofErr w:type="spellStart"/>
      <w:r w:rsidRPr="00B968AE">
        <w:rPr>
          <w:szCs w:val="22"/>
        </w:rPr>
        <w:t>amodiaquine</w:t>
      </w:r>
      <w:proofErr w:type="spellEnd"/>
      <w:r w:rsidRPr="00B968AE">
        <w:rPr>
          <w:szCs w:val="22"/>
        </w:rPr>
        <w:t xml:space="preserve">. </w:t>
      </w:r>
      <w:proofErr w:type="spellStart"/>
      <w:r w:rsidRPr="00B968AE">
        <w:rPr>
          <w:szCs w:val="22"/>
        </w:rPr>
        <w:t>Clin</w:t>
      </w:r>
      <w:proofErr w:type="spellEnd"/>
      <w:r w:rsidRPr="00B968AE">
        <w:rPr>
          <w:szCs w:val="22"/>
        </w:rPr>
        <w:t xml:space="preserve"> Pharmacokinetic.1996.; 30(4):263-99 </w:t>
      </w:r>
    </w:p>
    <w:p w14:paraId="20E3D49B" w14:textId="77777777" w:rsidR="00D31427" w:rsidRPr="00B968AE" w:rsidRDefault="00694781" w:rsidP="00D31427">
      <w:pPr>
        <w:numPr>
          <w:ilvl w:val="0"/>
          <w:numId w:val="34"/>
        </w:numPr>
        <w:rPr>
          <w:szCs w:val="22"/>
        </w:rPr>
      </w:pPr>
      <w:proofErr w:type="spellStart"/>
      <w:r w:rsidRPr="00B968AE">
        <w:rPr>
          <w:szCs w:val="22"/>
        </w:rPr>
        <w:t>Romand</w:t>
      </w:r>
      <w:proofErr w:type="spellEnd"/>
      <w:r w:rsidRPr="00B968AE">
        <w:rPr>
          <w:szCs w:val="22"/>
        </w:rPr>
        <w:t xml:space="preserve"> S, Della </w:t>
      </w:r>
      <w:proofErr w:type="spellStart"/>
      <w:r w:rsidRPr="00B968AE">
        <w:rPr>
          <w:szCs w:val="22"/>
        </w:rPr>
        <w:t>Bruna</w:t>
      </w:r>
      <w:proofErr w:type="spellEnd"/>
      <w:r w:rsidRPr="00B968AE">
        <w:rPr>
          <w:szCs w:val="22"/>
        </w:rPr>
        <w:t xml:space="preserve"> C, </w:t>
      </w:r>
      <w:proofErr w:type="spellStart"/>
      <w:r w:rsidRPr="00B968AE">
        <w:rPr>
          <w:szCs w:val="22"/>
        </w:rPr>
        <w:t>Farinotti</w:t>
      </w:r>
      <w:proofErr w:type="spellEnd"/>
      <w:r w:rsidRPr="00B968AE">
        <w:rPr>
          <w:szCs w:val="22"/>
        </w:rPr>
        <w:t xml:space="preserve"> R, et al. In vitro and in vivo effects of </w:t>
      </w:r>
      <w:proofErr w:type="spellStart"/>
      <w:r w:rsidRPr="00B968AE">
        <w:rPr>
          <w:szCs w:val="22"/>
        </w:rPr>
        <w:t>rifabutin</w:t>
      </w:r>
      <w:proofErr w:type="spellEnd"/>
      <w:r w:rsidRPr="00B968AE">
        <w:rPr>
          <w:szCs w:val="22"/>
        </w:rPr>
        <w:t xml:space="preserve"> alone or combined with </w:t>
      </w:r>
      <w:proofErr w:type="spellStart"/>
      <w:r w:rsidRPr="00B968AE">
        <w:rPr>
          <w:szCs w:val="22"/>
        </w:rPr>
        <w:t>atovaquone</w:t>
      </w:r>
      <w:proofErr w:type="spellEnd"/>
      <w:r w:rsidRPr="00B968AE">
        <w:rPr>
          <w:szCs w:val="22"/>
        </w:rPr>
        <w:t xml:space="preserve"> against Toxoplasma </w:t>
      </w:r>
      <w:proofErr w:type="spellStart"/>
      <w:r w:rsidRPr="00B968AE">
        <w:rPr>
          <w:szCs w:val="22"/>
        </w:rPr>
        <w:t>gondii</w:t>
      </w:r>
      <w:proofErr w:type="spellEnd"/>
      <w:r w:rsidRPr="00B968AE">
        <w:rPr>
          <w:szCs w:val="22"/>
        </w:rPr>
        <w:t xml:space="preserve">. </w:t>
      </w:r>
      <w:proofErr w:type="spellStart"/>
      <w:r w:rsidRPr="00B968AE">
        <w:rPr>
          <w:szCs w:val="22"/>
        </w:rPr>
        <w:t>Antimicrob</w:t>
      </w:r>
      <w:proofErr w:type="spellEnd"/>
      <w:r w:rsidRPr="00B968AE">
        <w:rPr>
          <w:szCs w:val="22"/>
        </w:rPr>
        <w:t xml:space="preserve"> Agents </w:t>
      </w:r>
      <w:proofErr w:type="spellStart"/>
      <w:r w:rsidRPr="00B968AE">
        <w:rPr>
          <w:szCs w:val="22"/>
        </w:rPr>
        <w:t>Chemother</w:t>
      </w:r>
      <w:proofErr w:type="spellEnd"/>
      <w:r w:rsidRPr="00B968AE">
        <w:rPr>
          <w:szCs w:val="22"/>
        </w:rPr>
        <w:t xml:space="preserve"> 1996; 40: 2015-20</w:t>
      </w:r>
    </w:p>
    <w:p w14:paraId="5F600EEE" w14:textId="77777777" w:rsidR="00E7583C" w:rsidRPr="00B968AE" w:rsidRDefault="00E7583C" w:rsidP="00D31427">
      <w:pPr>
        <w:numPr>
          <w:ilvl w:val="0"/>
          <w:numId w:val="34"/>
        </w:numPr>
        <w:rPr>
          <w:szCs w:val="22"/>
        </w:rPr>
      </w:pPr>
      <w:r w:rsidRPr="00B968AE">
        <w:rPr>
          <w:szCs w:val="22"/>
        </w:rPr>
        <w:t xml:space="preserve">Sousa M, </w:t>
      </w:r>
      <w:proofErr w:type="spellStart"/>
      <w:r w:rsidRPr="00B968AE">
        <w:rPr>
          <w:szCs w:val="22"/>
        </w:rPr>
        <w:t>Pozniak</w:t>
      </w:r>
      <w:proofErr w:type="spellEnd"/>
      <w:r w:rsidRPr="00B968AE">
        <w:rPr>
          <w:szCs w:val="22"/>
        </w:rPr>
        <w:t xml:space="preserve"> A, </w:t>
      </w:r>
      <w:proofErr w:type="spellStart"/>
      <w:r w:rsidRPr="00B968AE">
        <w:rPr>
          <w:szCs w:val="22"/>
        </w:rPr>
        <w:t>Boffito</w:t>
      </w:r>
      <w:proofErr w:type="spellEnd"/>
      <w:r w:rsidRPr="00B968AE">
        <w:rPr>
          <w:szCs w:val="22"/>
        </w:rPr>
        <w:t xml:space="preserve"> M. Pharmacokinetics and pharmacodynamics of drug interactions involving rifampicin, </w:t>
      </w:r>
      <w:proofErr w:type="spellStart"/>
      <w:r w:rsidRPr="00B968AE">
        <w:rPr>
          <w:szCs w:val="22"/>
        </w:rPr>
        <w:t>rifabutin</w:t>
      </w:r>
      <w:proofErr w:type="spellEnd"/>
      <w:r w:rsidRPr="00B968AE">
        <w:rPr>
          <w:szCs w:val="22"/>
        </w:rPr>
        <w:t xml:space="preserve"> and antimalarial drugs. Journal of Antimicrobial Chemotherapy. 2008; 62: 872-878. </w:t>
      </w:r>
      <w:r w:rsidR="00A96B16" w:rsidRPr="00B968AE">
        <w:rPr>
          <w:szCs w:val="22"/>
        </w:rPr>
        <w:t xml:space="preserve"> </w:t>
      </w:r>
    </w:p>
    <w:p w14:paraId="6141FB3B" w14:textId="7A58436A" w:rsidR="00221A78" w:rsidRPr="00B968AE" w:rsidRDefault="00221A78" w:rsidP="00221A78">
      <w:pPr>
        <w:numPr>
          <w:ilvl w:val="0"/>
          <w:numId w:val="34"/>
        </w:numPr>
        <w:autoSpaceDE w:val="0"/>
        <w:autoSpaceDN w:val="0"/>
        <w:adjustRightInd w:val="0"/>
        <w:rPr>
          <w:szCs w:val="22"/>
        </w:rPr>
      </w:pPr>
      <w:r w:rsidRPr="00B968AE">
        <w:rPr>
          <w:szCs w:val="22"/>
        </w:rPr>
        <w:t xml:space="preserve">Product Information: </w:t>
      </w:r>
      <w:proofErr w:type="spellStart"/>
      <w:r w:rsidRPr="00B968AE">
        <w:rPr>
          <w:szCs w:val="22"/>
        </w:rPr>
        <w:t>Malarone</w:t>
      </w:r>
      <w:proofErr w:type="spellEnd"/>
      <w:r w:rsidRPr="00B968AE">
        <w:rPr>
          <w:szCs w:val="22"/>
        </w:rPr>
        <w:t xml:space="preserve">(R), </w:t>
      </w:r>
      <w:proofErr w:type="spellStart"/>
      <w:r w:rsidRPr="00B968AE">
        <w:rPr>
          <w:szCs w:val="22"/>
        </w:rPr>
        <w:t>atovaquone</w:t>
      </w:r>
      <w:proofErr w:type="spellEnd"/>
      <w:r w:rsidRPr="00B968AE">
        <w:rPr>
          <w:szCs w:val="22"/>
        </w:rPr>
        <w:t xml:space="preserve"> and </w:t>
      </w:r>
      <w:proofErr w:type="spellStart"/>
      <w:r w:rsidRPr="00B968AE">
        <w:rPr>
          <w:szCs w:val="22"/>
        </w:rPr>
        <w:t>proguanil</w:t>
      </w:r>
      <w:proofErr w:type="spellEnd"/>
      <w:r w:rsidRPr="00B968AE">
        <w:rPr>
          <w:szCs w:val="22"/>
        </w:rPr>
        <w:t xml:space="preserve"> </w:t>
      </w:r>
      <w:proofErr w:type="spellStart"/>
      <w:r w:rsidRPr="00B968AE">
        <w:rPr>
          <w:szCs w:val="22"/>
        </w:rPr>
        <w:t>HCl</w:t>
      </w:r>
      <w:proofErr w:type="spellEnd"/>
      <w:r w:rsidRPr="00B968AE">
        <w:rPr>
          <w:szCs w:val="22"/>
        </w:rPr>
        <w:t>. GlaxoSmithKline, Mississauga, ON, 2001 and 2007.</w:t>
      </w:r>
    </w:p>
    <w:p w14:paraId="3B4FE179" w14:textId="77777777" w:rsidR="00144C4E" w:rsidRPr="00B968AE" w:rsidRDefault="00221A78" w:rsidP="00221A78">
      <w:pPr>
        <w:numPr>
          <w:ilvl w:val="0"/>
          <w:numId w:val="34"/>
        </w:numPr>
        <w:autoSpaceDE w:val="0"/>
        <w:autoSpaceDN w:val="0"/>
        <w:adjustRightInd w:val="0"/>
        <w:rPr>
          <w:szCs w:val="22"/>
        </w:rPr>
      </w:pPr>
      <w:r w:rsidRPr="00B968AE">
        <w:rPr>
          <w:szCs w:val="22"/>
        </w:rPr>
        <w:lastRenderedPageBreak/>
        <w:t xml:space="preserve">Emmanuel A, </w:t>
      </w:r>
      <w:proofErr w:type="spellStart"/>
      <w:r w:rsidRPr="00B968AE">
        <w:rPr>
          <w:szCs w:val="22"/>
        </w:rPr>
        <w:t>Gillotin</w:t>
      </w:r>
      <w:proofErr w:type="spellEnd"/>
      <w:r w:rsidRPr="00B968AE">
        <w:rPr>
          <w:szCs w:val="22"/>
        </w:rPr>
        <w:t xml:space="preserve"> C, </w:t>
      </w:r>
      <w:proofErr w:type="spellStart"/>
      <w:r w:rsidRPr="00B968AE">
        <w:rPr>
          <w:szCs w:val="22"/>
        </w:rPr>
        <w:t>Farinotti</w:t>
      </w:r>
      <w:proofErr w:type="spellEnd"/>
      <w:r w:rsidRPr="00B968AE">
        <w:rPr>
          <w:szCs w:val="22"/>
        </w:rPr>
        <w:t xml:space="preserve"> R. </w:t>
      </w:r>
      <w:proofErr w:type="spellStart"/>
      <w:r w:rsidRPr="00B968AE">
        <w:rPr>
          <w:szCs w:val="22"/>
        </w:rPr>
        <w:t>Atovaquone</w:t>
      </w:r>
      <w:proofErr w:type="spellEnd"/>
      <w:r w:rsidRPr="00B968AE">
        <w:rPr>
          <w:szCs w:val="22"/>
        </w:rPr>
        <w:t xml:space="preserve"> suspension and </w:t>
      </w:r>
      <w:proofErr w:type="spellStart"/>
      <w:r w:rsidRPr="00B968AE">
        <w:rPr>
          <w:szCs w:val="22"/>
        </w:rPr>
        <w:t>indinavir</w:t>
      </w:r>
      <w:proofErr w:type="spellEnd"/>
      <w:r w:rsidRPr="00B968AE">
        <w:rPr>
          <w:szCs w:val="22"/>
        </w:rPr>
        <w:t xml:space="preserve"> have minimal pharmacokinetic interactions. </w:t>
      </w:r>
      <w:proofErr w:type="spellStart"/>
      <w:r w:rsidRPr="00B968AE">
        <w:rPr>
          <w:i/>
          <w:iCs/>
          <w:szCs w:val="22"/>
        </w:rPr>
        <w:t>Int</w:t>
      </w:r>
      <w:proofErr w:type="spellEnd"/>
      <w:r w:rsidRPr="00B968AE">
        <w:rPr>
          <w:i/>
          <w:iCs/>
          <w:szCs w:val="22"/>
        </w:rPr>
        <w:t xml:space="preserve"> </w:t>
      </w:r>
      <w:proofErr w:type="spellStart"/>
      <w:r w:rsidRPr="00B968AE">
        <w:rPr>
          <w:i/>
          <w:iCs/>
          <w:szCs w:val="22"/>
        </w:rPr>
        <w:t>Conf</w:t>
      </w:r>
      <w:proofErr w:type="spellEnd"/>
      <w:r w:rsidRPr="00B968AE">
        <w:rPr>
          <w:i/>
          <w:iCs/>
          <w:szCs w:val="22"/>
        </w:rPr>
        <w:t xml:space="preserve"> AIDS. </w:t>
      </w:r>
      <w:r w:rsidRPr="00B968AE">
        <w:rPr>
          <w:szCs w:val="22"/>
        </w:rPr>
        <w:t>1998; 12: 90 (abstract no. 12384).</w:t>
      </w:r>
    </w:p>
    <w:p w14:paraId="0289AD09" w14:textId="77777777" w:rsidR="00826261" w:rsidRPr="00B968AE" w:rsidRDefault="00826261" w:rsidP="00221A78">
      <w:pPr>
        <w:numPr>
          <w:ilvl w:val="0"/>
          <w:numId w:val="34"/>
        </w:numPr>
        <w:autoSpaceDE w:val="0"/>
        <w:autoSpaceDN w:val="0"/>
        <w:adjustRightInd w:val="0"/>
        <w:rPr>
          <w:szCs w:val="22"/>
        </w:rPr>
      </w:pPr>
      <w:r w:rsidRPr="00B968AE">
        <w:rPr>
          <w:szCs w:val="22"/>
        </w:rPr>
        <w:t xml:space="preserve">Andrea K, </w:t>
      </w:r>
      <w:proofErr w:type="spellStart"/>
      <w:r w:rsidRPr="00B968AE">
        <w:rPr>
          <w:szCs w:val="22"/>
        </w:rPr>
        <w:t>Parise</w:t>
      </w:r>
      <w:proofErr w:type="spellEnd"/>
      <w:r w:rsidRPr="00B968AE">
        <w:rPr>
          <w:szCs w:val="22"/>
        </w:rPr>
        <w:t xml:space="preserve"> M, Lewis L, </w:t>
      </w:r>
      <w:proofErr w:type="spellStart"/>
      <w:r w:rsidRPr="00B968AE">
        <w:rPr>
          <w:szCs w:val="22"/>
        </w:rPr>
        <w:t>Kain</w:t>
      </w:r>
      <w:proofErr w:type="spellEnd"/>
      <w:r w:rsidRPr="00B968AE">
        <w:rPr>
          <w:szCs w:val="22"/>
        </w:rPr>
        <w:t xml:space="preserve"> K. </w:t>
      </w:r>
      <w:r w:rsidR="00257C0C" w:rsidRPr="00B968AE">
        <w:rPr>
          <w:szCs w:val="22"/>
        </w:rPr>
        <w:t>Atovaquone-proguanil: report from the CDC expert meeti</w:t>
      </w:r>
      <w:r w:rsidR="00474910" w:rsidRPr="00B968AE">
        <w:rPr>
          <w:szCs w:val="22"/>
        </w:rPr>
        <w:t>ng on malaria chemoprophylaxis.</w:t>
      </w:r>
    </w:p>
    <w:p w14:paraId="76BFF015" w14:textId="77777777" w:rsidR="00100C57" w:rsidRPr="00B968AE" w:rsidRDefault="00100C57" w:rsidP="00221A78">
      <w:pPr>
        <w:numPr>
          <w:ilvl w:val="0"/>
          <w:numId w:val="34"/>
        </w:numPr>
        <w:autoSpaceDE w:val="0"/>
        <w:autoSpaceDN w:val="0"/>
        <w:adjustRightInd w:val="0"/>
        <w:rPr>
          <w:szCs w:val="22"/>
        </w:rPr>
      </w:pPr>
      <w:proofErr w:type="spellStart"/>
      <w:r w:rsidRPr="00B968AE">
        <w:rPr>
          <w:szCs w:val="22"/>
        </w:rPr>
        <w:t>McGready</w:t>
      </w:r>
      <w:proofErr w:type="spellEnd"/>
      <w:r w:rsidRPr="00B968AE">
        <w:rPr>
          <w:szCs w:val="22"/>
        </w:rPr>
        <w:t xml:space="preserve"> R, </w:t>
      </w:r>
      <w:proofErr w:type="spellStart"/>
      <w:r w:rsidRPr="00B968AE">
        <w:rPr>
          <w:szCs w:val="22"/>
        </w:rPr>
        <w:t>Keo</w:t>
      </w:r>
      <w:proofErr w:type="spellEnd"/>
      <w:r w:rsidRPr="00B968AE">
        <w:rPr>
          <w:szCs w:val="22"/>
        </w:rPr>
        <w:t xml:space="preserve"> NK, Villegas L, White NJ, </w:t>
      </w:r>
      <w:proofErr w:type="spellStart"/>
      <w:r w:rsidRPr="00B968AE">
        <w:rPr>
          <w:szCs w:val="22"/>
        </w:rPr>
        <w:t>Looareesuwan</w:t>
      </w:r>
      <w:proofErr w:type="spellEnd"/>
      <w:r w:rsidRPr="00B968AE">
        <w:rPr>
          <w:szCs w:val="22"/>
        </w:rPr>
        <w:t xml:space="preserve"> S, </w:t>
      </w:r>
      <w:proofErr w:type="spellStart"/>
      <w:r w:rsidRPr="00B968AE">
        <w:rPr>
          <w:szCs w:val="22"/>
        </w:rPr>
        <w:t>Nosten</w:t>
      </w:r>
      <w:proofErr w:type="spellEnd"/>
      <w:r w:rsidRPr="00B968AE">
        <w:rPr>
          <w:szCs w:val="22"/>
        </w:rPr>
        <w:t xml:space="preserve"> F. </w:t>
      </w:r>
      <w:proofErr w:type="spellStart"/>
      <w:r w:rsidRPr="00B968AE">
        <w:rPr>
          <w:szCs w:val="22"/>
        </w:rPr>
        <w:t>Artesunate-atovaquone-proguanil</w:t>
      </w:r>
      <w:proofErr w:type="spellEnd"/>
      <w:r w:rsidRPr="00B968AE">
        <w:rPr>
          <w:szCs w:val="22"/>
        </w:rPr>
        <w:t xml:space="preserve"> rescue treatment of multidrug resistant Plasmodium </w:t>
      </w:r>
      <w:r w:rsidRPr="00D5361B">
        <w:rPr>
          <w:i/>
          <w:szCs w:val="22"/>
        </w:rPr>
        <w:t>falciparum</w:t>
      </w:r>
      <w:r w:rsidRPr="00B968AE">
        <w:rPr>
          <w:szCs w:val="22"/>
        </w:rPr>
        <w:t xml:space="preserve"> malaria in pregnancy: a preliminary report. Trans R </w:t>
      </w:r>
      <w:proofErr w:type="spellStart"/>
      <w:r w:rsidRPr="00B968AE">
        <w:rPr>
          <w:szCs w:val="22"/>
        </w:rPr>
        <w:t>Soc</w:t>
      </w:r>
      <w:proofErr w:type="spellEnd"/>
      <w:r w:rsidRPr="00B968AE">
        <w:rPr>
          <w:szCs w:val="22"/>
        </w:rPr>
        <w:t xml:space="preserve"> Trop Med Hyg.2003; 97: 592-594</w:t>
      </w:r>
    </w:p>
    <w:p w14:paraId="3C6A5037" w14:textId="77777777" w:rsidR="00100C57" w:rsidRPr="00B968AE" w:rsidRDefault="00100C57" w:rsidP="00221A78">
      <w:pPr>
        <w:numPr>
          <w:ilvl w:val="0"/>
          <w:numId w:val="34"/>
        </w:numPr>
        <w:autoSpaceDE w:val="0"/>
        <w:autoSpaceDN w:val="0"/>
        <w:adjustRightInd w:val="0"/>
        <w:rPr>
          <w:szCs w:val="22"/>
        </w:rPr>
      </w:pPr>
      <w:proofErr w:type="spellStart"/>
      <w:r w:rsidRPr="00B968AE">
        <w:rPr>
          <w:szCs w:val="22"/>
        </w:rPr>
        <w:t>McGready</w:t>
      </w:r>
      <w:proofErr w:type="spellEnd"/>
      <w:r w:rsidRPr="00B968AE">
        <w:rPr>
          <w:szCs w:val="22"/>
        </w:rPr>
        <w:t xml:space="preserve"> R, Ashley EA, Moo E, Cho T, </w:t>
      </w:r>
      <w:proofErr w:type="spellStart"/>
      <w:r w:rsidRPr="00B968AE">
        <w:rPr>
          <w:szCs w:val="22"/>
        </w:rPr>
        <w:t>Barends</w:t>
      </w:r>
      <w:proofErr w:type="spellEnd"/>
      <w:r w:rsidRPr="00B968AE">
        <w:rPr>
          <w:szCs w:val="22"/>
        </w:rPr>
        <w:t xml:space="preserve"> M, </w:t>
      </w:r>
      <w:proofErr w:type="spellStart"/>
      <w:r w:rsidRPr="00B968AE">
        <w:rPr>
          <w:szCs w:val="22"/>
        </w:rPr>
        <w:t>Hutagalung</w:t>
      </w:r>
      <w:proofErr w:type="spellEnd"/>
      <w:r w:rsidRPr="00B968AE">
        <w:rPr>
          <w:szCs w:val="22"/>
        </w:rPr>
        <w:t xml:space="preserve"> R, </w:t>
      </w:r>
      <w:proofErr w:type="spellStart"/>
      <w:r w:rsidRPr="00B968AE">
        <w:rPr>
          <w:szCs w:val="22"/>
        </w:rPr>
        <w:t>Looareesuwan</w:t>
      </w:r>
      <w:proofErr w:type="spellEnd"/>
      <w:r w:rsidRPr="00B968AE">
        <w:rPr>
          <w:szCs w:val="22"/>
        </w:rPr>
        <w:t xml:space="preserve"> S, White NJ, </w:t>
      </w:r>
      <w:proofErr w:type="spellStart"/>
      <w:r w:rsidRPr="00B968AE">
        <w:rPr>
          <w:szCs w:val="22"/>
        </w:rPr>
        <w:t>Nosten</w:t>
      </w:r>
      <w:proofErr w:type="spellEnd"/>
      <w:r w:rsidRPr="00B968AE">
        <w:rPr>
          <w:szCs w:val="22"/>
        </w:rPr>
        <w:t xml:space="preserve"> F, 2005. A randomized comparison of </w:t>
      </w:r>
      <w:proofErr w:type="spellStart"/>
      <w:r w:rsidRPr="00B968AE">
        <w:rPr>
          <w:szCs w:val="22"/>
        </w:rPr>
        <w:t>artesunate-atovaquone-proguanil</w:t>
      </w:r>
      <w:proofErr w:type="spellEnd"/>
      <w:r w:rsidRPr="00B968AE">
        <w:rPr>
          <w:szCs w:val="22"/>
        </w:rPr>
        <w:t xml:space="preserve"> versus quinine in treatment for uncomplicated </w:t>
      </w:r>
      <w:r w:rsidRPr="00D5361B">
        <w:rPr>
          <w:szCs w:val="22"/>
        </w:rPr>
        <w:t>falciparum</w:t>
      </w:r>
      <w:r w:rsidRPr="00B968AE">
        <w:rPr>
          <w:szCs w:val="22"/>
        </w:rPr>
        <w:t xml:space="preserve"> malaria during pregnancy. J Infect Dis.2005; 192: 864-853</w:t>
      </w:r>
      <w:r w:rsidR="00F05DE0" w:rsidRPr="00B968AE">
        <w:rPr>
          <w:szCs w:val="22"/>
        </w:rPr>
        <w:t>.</w:t>
      </w:r>
    </w:p>
    <w:p w14:paraId="1076AA9E" w14:textId="4B02847C" w:rsidR="00AE0D8C" w:rsidRPr="00B968AE" w:rsidRDefault="003E1598" w:rsidP="00221A78">
      <w:pPr>
        <w:numPr>
          <w:ilvl w:val="0"/>
          <w:numId w:val="34"/>
        </w:numPr>
        <w:autoSpaceDE w:val="0"/>
        <w:autoSpaceDN w:val="0"/>
        <w:adjustRightInd w:val="0"/>
        <w:rPr>
          <w:szCs w:val="22"/>
        </w:rPr>
      </w:pPr>
      <w:r w:rsidRPr="00B968AE">
        <w:rPr>
          <w:szCs w:val="22"/>
        </w:rPr>
        <w:t xml:space="preserve">Center of Disease Control. Anopheles </w:t>
      </w:r>
      <w:proofErr w:type="spellStart"/>
      <w:r w:rsidRPr="00B968AE">
        <w:rPr>
          <w:szCs w:val="22"/>
        </w:rPr>
        <w:t>Mostquitoes</w:t>
      </w:r>
      <w:proofErr w:type="spellEnd"/>
      <w:r w:rsidRPr="00B968AE">
        <w:rPr>
          <w:szCs w:val="22"/>
        </w:rPr>
        <w:t xml:space="preserve">. </w:t>
      </w:r>
      <w:r w:rsidR="00D850ED" w:rsidRPr="00B968AE">
        <w:rPr>
          <w:szCs w:val="22"/>
        </w:rPr>
        <w:t xml:space="preserve">Available at </w:t>
      </w:r>
      <w:hyperlink r:id="rId19" w:history="1">
        <w:r w:rsidRPr="00B968AE">
          <w:rPr>
            <w:rStyle w:val="Hyperlink"/>
            <w:szCs w:val="22"/>
          </w:rPr>
          <w:t>http://www.cdc.gov/malaria/about/biology/mosquitoes/</w:t>
        </w:r>
      </w:hyperlink>
      <w:r w:rsidRPr="00B968AE">
        <w:rPr>
          <w:szCs w:val="22"/>
        </w:rPr>
        <w:t xml:space="preserve">. Accessed March 2, 2014. </w:t>
      </w:r>
    </w:p>
    <w:p w14:paraId="3F139C8C" w14:textId="7EC09365" w:rsidR="00D5049E" w:rsidRPr="00B968AE" w:rsidRDefault="00D5049E" w:rsidP="00D5049E">
      <w:pPr>
        <w:numPr>
          <w:ilvl w:val="0"/>
          <w:numId w:val="34"/>
        </w:numPr>
        <w:autoSpaceDE w:val="0"/>
        <w:autoSpaceDN w:val="0"/>
        <w:adjustRightInd w:val="0"/>
        <w:rPr>
          <w:szCs w:val="22"/>
        </w:rPr>
      </w:pPr>
      <w:r w:rsidRPr="00B968AE">
        <w:rPr>
          <w:szCs w:val="22"/>
        </w:rPr>
        <w:t xml:space="preserve">Center of Disease Control. Malaria Treatment (United States). Available at </w:t>
      </w:r>
      <w:hyperlink r:id="rId20" w:history="1">
        <w:r w:rsidRPr="00B968AE">
          <w:rPr>
            <w:rStyle w:val="Hyperlink"/>
            <w:szCs w:val="22"/>
          </w:rPr>
          <w:t>http://www.cdc.gov/malaria/diagnosis_treatment/treatment.html</w:t>
        </w:r>
      </w:hyperlink>
      <w:r w:rsidRPr="00B968AE">
        <w:rPr>
          <w:szCs w:val="22"/>
        </w:rPr>
        <w:t xml:space="preserve">. Accessed Mach 8, 2014. </w:t>
      </w:r>
    </w:p>
    <w:p w14:paraId="742F251C" w14:textId="08F2CBD2" w:rsidR="00D850ED" w:rsidRPr="00B968AE" w:rsidRDefault="00D850ED" w:rsidP="00D850ED">
      <w:pPr>
        <w:numPr>
          <w:ilvl w:val="0"/>
          <w:numId w:val="34"/>
        </w:numPr>
        <w:autoSpaceDE w:val="0"/>
        <w:autoSpaceDN w:val="0"/>
        <w:adjustRightInd w:val="0"/>
        <w:rPr>
          <w:szCs w:val="22"/>
        </w:rPr>
      </w:pPr>
      <w:r w:rsidRPr="00B968AE">
        <w:rPr>
          <w:szCs w:val="22"/>
        </w:rPr>
        <w:t xml:space="preserve">FDA Drug Safety Communication: </w:t>
      </w:r>
      <w:r w:rsidRPr="00B968AE">
        <w:rPr>
          <w:szCs w:val="22"/>
          <w:lang w:val="en"/>
        </w:rPr>
        <w:t xml:space="preserve">FDA approves label changes for antimalarial drug mefloquine hydrochloride due to risk of serious psychiatric and nerve side effects. Available at </w:t>
      </w:r>
      <w:hyperlink r:id="rId21" w:history="1">
        <w:r w:rsidRPr="00B968AE">
          <w:rPr>
            <w:rStyle w:val="Hyperlink"/>
            <w:szCs w:val="22"/>
            <w:lang w:val="en"/>
          </w:rPr>
          <w:t>http://www.fda.gov/drugs/drugsafety/ucm362227.htm</w:t>
        </w:r>
      </w:hyperlink>
      <w:r w:rsidRPr="00B968AE">
        <w:rPr>
          <w:szCs w:val="22"/>
          <w:lang w:val="en"/>
        </w:rPr>
        <w:t>. Accessed March 8, 2014.</w:t>
      </w:r>
    </w:p>
    <w:p w14:paraId="4B7C12C7" w14:textId="77777777" w:rsidR="00100F00" w:rsidRPr="00B968AE" w:rsidRDefault="003052BB" w:rsidP="004E5385">
      <w:pPr>
        <w:numPr>
          <w:ilvl w:val="0"/>
          <w:numId w:val="34"/>
        </w:numPr>
        <w:autoSpaceDE w:val="0"/>
        <w:autoSpaceDN w:val="0"/>
        <w:adjustRightInd w:val="0"/>
        <w:rPr>
          <w:szCs w:val="22"/>
        </w:rPr>
      </w:pPr>
      <w:proofErr w:type="spellStart"/>
      <w:r w:rsidRPr="00B968AE">
        <w:rPr>
          <w:szCs w:val="22"/>
        </w:rPr>
        <w:t>Boggild</w:t>
      </w:r>
      <w:proofErr w:type="spellEnd"/>
      <w:r w:rsidRPr="00B968AE">
        <w:rPr>
          <w:szCs w:val="22"/>
        </w:rPr>
        <w:t xml:space="preserve"> A, </w:t>
      </w:r>
      <w:proofErr w:type="spellStart"/>
      <w:r w:rsidRPr="00B968AE">
        <w:rPr>
          <w:szCs w:val="22"/>
        </w:rPr>
        <w:t>Parise</w:t>
      </w:r>
      <w:proofErr w:type="spellEnd"/>
      <w:r w:rsidRPr="00B968AE">
        <w:rPr>
          <w:szCs w:val="22"/>
        </w:rPr>
        <w:t xml:space="preserve"> M, Lewis LS, and </w:t>
      </w:r>
      <w:proofErr w:type="spellStart"/>
      <w:r w:rsidRPr="00B968AE">
        <w:rPr>
          <w:szCs w:val="22"/>
        </w:rPr>
        <w:t>Kain</w:t>
      </w:r>
      <w:proofErr w:type="spellEnd"/>
      <w:r w:rsidRPr="00B968AE">
        <w:rPr>
          <w:szCs w:val="22"/>
        </w:rPr>
        <w:t xml:space="preserve"> K. Atovaquone-proguanil: report from the CDC Expert Meeting on Malaria Chemoprophylaxis (II). Am. J. Trop. Med. Hyg.2007; 76(2): 208-223</w:t>
      </w:r>
    </w:p>
    <w:p w14:paraId="41CEF94E" w14:textId="2BE8C5B1" w:rsidR="00100F00" w:rsidRPr="00B968AE" w:rsidRDefault="004E5385" w:rsidP="004E5385">
      <w:pPr>
        <w:numPr>
          <w:ilvl w:val="0"/>
          <w:numId w:val="34"/>
        </w:numPr>
        <w:autoSpaceDE w:val="0"/>
        <w:autoSpaceDN w:val="0"/>
        <w:adjustRightInd w:val="0"/>
        <w:rPr>
          <w:szCs w:val="22"/>
        </w:rPr>
      </w:pPr>
      <w:r w:rsidRPr="00B968AE">
        <w:rPr>
          <w:szCs w:val="22"/>
        </w:rPr>
        <w:t xml:space="preserve">De </w:t>
      </w:r>
      <w:proofErr w:type="spellStart"/>
      <w:r w:rsidRPr="00B968AE">
        <w:rPr>
          <w:szCs w:val="22"/>
        </w:rPr>
        <w:t>Alencar</w:t>
      </w:r>
      <w:proofErr w:type="spellEnd"/>
      <w:r w:rsidRPr="00B968AE">
        <w:rPr>
          <w:szCs w:val="22"/>
        </w:rPr>
        <w:t xml:space="preserve"> FE, </w:t>
      </w:r>
      <w:proofErr w:type="spellStart"/>
      <w:r w:rsidRPr="00B968AE">
        <w:rPr>
          <w:szCs w:val="22"/>
        </w:rPr>
        <w:t>Cerutti</w:t>
      </w:r>
      <w:proofErr w:type="spellEnd"/>
      <w:r w:rsidRPr="00B968AE">
        <w:rPr>
          <w:szCs w:val="22"/>
        </w:rPr>
        <w:t xml:space="preserve"> C, </w:t>
      </w:r>
      <w:proofErr w:type="spellStart"/>
      <w:r w:rsidRPr="00B968AE">
        <w:rPr>
          <w:szCs w:val="22"/>
        </w:rPr>
        <w:t>Durlacher</w:t>
      </w:r>
      <w:proofErr w:type="spellEnd"/>
      <w:r w:rsidRPr="00B968AE">
        <w:rPr>
          <w:szCs w:val="22"/>
        </w:rPr>
        <w:t xml:space="preserve"> RR, </w:t>
      </w:r>
      <w:proofErr w:type="spellStart"/>
      <w:r w:rsidRPr="00B968AE">
        <w:rPr>
          <w:szCs w:val="22"/>
        </w:rPr>
        <w:t>Boulos</w:t>
      </w:r>
      <w:proofErr w:type="spellEnd"/>
      <w:r w:rsidRPr="00B968AE">
        <w:rPr>
          <w:szCs w:val="22"/>
        </w:rPr>
        <w:t xml:space="preserve"> </w:t>
      </w:r>
      <w:r w:rsidR="00EF2A84">
        <w:rPr>
          <w:szCs w:val="22"/>
        </w:rPr>
        <w:t xml:space="preserve">M, </w:t>
      </w:r>
      <w:proofErr w:type="spellStart"/>
      <w:r w:rsidR="00EF2A84">
        <w:rPr>
          <w:szCs w:val="22"/>
        </w:rPr>
        <w:t>Alves</w:t>
      </w:r>
      <w:proofErr w:type="spellEnd"/>
      <w:r w:rsidR="00EF2A84">
        <w:rPr>
          <w:szCs w:val="22"/>
        </w:rPr>
        <w:t xml:space="preserve"> FP, Milhous W, Pang L</w:t>
      </w:r>
      <w:r w:rsidRPr="00B968AE">
        <w:rPr>
          <w:szCs w:val="22"/>
        </w:rPr>
        <w:t xml:space="preserve">. </w:t>
      </w:r>
      <w:proofErr w:type="spellStart"/>
      <w:r w:rsidRPr="00B968AE">
        <w:rPr>
          <w:szCs w:val="22"/>
        </w:rPr>
        <w:t>Atovaquone</w:t>
      </w:r>
      <w:proofErr w:type="spellEnd"/>
      <w:r w:rsidRPr="00B968AE">
        <w:rPr>
          <w:szCs w:val="22"/>
        </w:rPr>
        <w:t xml:space="preserve"> and </w:t>
      </w:r>
      <w:proofErr w:type="spellStart"/>
      <w:r w:rsidRPr="00B968AE">
        <w:rPr>
          <w:szCs w:val="22"/>
        </w:rPr>
        <w:t>prograunil</w:t>
      </w:r>
      <w:proofErr w:type="spellEnd"/>
      <w:r w:rsidRPr="00B968AE">
        <w:rPr>
          <w:szCs w:val="22"/>
        </w:rPr>
        <w:t xml:space="preserve"> for the treatment of malaria in Brazil. </w:t>
      </w:r>
      <w:r w:rsidRPr="00B968AE">
        <w:rPr>
          <w:i/>
          <w:szCs w:val="22"/>
        </w:rPr>
        <w:t>J Infect Dis</w:t>
      </w:r>
      <w:r w:rsidR="00EF2A84">
        <w:rPr>
          <w:szCs w:val="22"/>
        </w:rPr>
        <w:t xml:space="preserve">. </w:t>
      </w:r>
      <w:r w:rsidR="00EF2A84" w:rsidRPr="00B968AE">
        <w:rPr>
          <w:szCs w:val="22"/>
        </w:rPr>
        <w:t>1997</w:t>
      </w:r>
      <w:r w:rsidR="00EF2A84">
        <w:rPr>
          <w:szCs w:val="22"/>
        </w:rPr>
        <w:t xml:space="preserve">; </w:t>
      </w:r>
      <w:r w:rsidRPr="00B968AE">
        <w:rPr>
          <w:szCs w:val="22"/>
        </w:rPr>
        <w:t>175: 1544-1547.</w:t>
      </w:r>
    </w:p>
    <w:p w14:paraId="18525412" w14:textId="2F471FA6" w:rsidR="00100F00" w:rsidRPr="00B968AE" w:rsidRDefault="004E5385" w:rsidP="004E5385">
      <w:pPr>
        <w:numPr>
          <w:ilvl w:val="0"/>
          <w:numId w:val="34"/>
        </w:numPr>
        <w:autoSpaceDE w:val="0"/>
        <w:autoSpaceDN w:val="0"/>
        <w:adjustRightInd w:val="0"/>
        <w:rPr>
          <w:szCs w:val="22"/>
        </w:rPr>
      </w:pPr>
      <w:proofErr w:type="spellStart"/>
      <w:r w:rsidRPr="00B968AE">
        <w:rPr>
          <w:szCs w:val="22"/>
        </w:rPr>
        <w:t>Looareesuwan</w:t>
      </w:r>
      <w:proofErr w:type="spellEnd"/>
      <w:r w:rsidRPr="00B968AE">
        <w:rPr>
          <w:szCs w:val="22"/>
        </w:rPr>
        <w:t xml:space="preserve"> S, </w:t>
      </w:r>
      <w:proofErr w:type="spellStart"/>
      <w:r w:rsidRPr="00B968AE">
        <w:rPr>
          <w:szCs w:val="22"/>
        </w:rPr>
        <w:t>Wilairatana</w:t>
      </w:r>
      <w:proofErr w:type="spellEnd"/>
      <w:r w:rsidRPr="00B968AE">
        <w:rPr>
          <w:szCs w:val="22"/>
        </w:rPr>
        <w:t xml:space="preserve"> P, </w:t>
      </w:r>
      <w:proofErr w:type="spellStart"/>
      <w:r w:rsidRPr="00B968AE">
        <w:rPr>
          <w:szCs w:val="22"/>
        </w:rPr>
        <w:t>Chalermarut</w:t>
      </w:r>
      <w:proofErr w:type="spellEnd"/>
      <w:r w:rsidRPr="00B968AE">
        <w:rPr>
          <w:szCs w:val="22"/>
        </w:rPr>
        <w:t xml:space="preserve"> K, </w:t>
      </w:r>
      <w:proofErr w:type="spellStart"/>
      <w:r w:rsidRPr="00B968AE">
        <w:rPr>
          <w:szCs w:val="22"/>
        </w:rPr>
        <w:t>Rattanapong</w:t>
      </w:r>
      <w:proofErr w:type="spellEnd"/>
      <w:r w:rsidRPr="00B968AE">
        <w:rPr>
          <w:szCs w:val="22"/>
        </w:rPr>
        <w:t xml:space="preserve"> Y,</w:t>
      </w:r>
      <w:r w:rsidR="00EF2A84">
        <w:rPr>
          <w:szCs w:val="22"/>
        </w:rPr>
        <w:t xml:space="preserve"> Canfield C, Hutchinson D.</w:t>
      </w:r>
      <w:r w:rsidRPr="00B968AE">
        <w:rPr>
          <w:szCs w:val="22"/>
        </w:rPr>
        <w:t xml:space="preserve"> Efficacy and safety of atovaquone-proguanil compared with mefloquine for the treatment of acute Plasmodium </w:t>
      </w:r>
      <w:r w:rsidRPr="00D5361B">
        <w:rPr>
          <w:i/>
          <w:szCs w:val="22"/>
        </w:rPr>
        <w:t>falciparum</w:t>
      </w:r>
      <w:r w:rsidRPr="00B968AE">
        <w:rPr>
          <w:szCs w:val="22"/>
        </w:rPr>
        <w:t xml:space="preserve"> malaria in Thailand. </w:t>
      </w:r>
      <w:r w:rsidRPr="00B968AE">
        <w:rPr>
          <w:i/>
          <w:szCs w:val="22"/>
        </w:rPr>
        <w:t xml:space="preserve">Am J Trop Med </w:t>
      </w:r>
      <w:proofErr w:type="spellStart"/>
      <w:proofErr w:type="gramStart"/>
      <w:r w:rsidRPr="00B968AE">
        <w:rPr>
          <w:i/>
          <w:szCs w:val="22"/>
        </w:rPr>
        <w:t>Hyg</w:t>
      </w:r>
      <w:proofErr w:type="spellEnd"/>
      <w:r w:rsidR="00EF2A84">
        <w:rPr>
          <w:i/>
          <w:szCs w:val="22"/>
        </w:rPr>
        <w:t>.</w:t>
      </w:r>
      <w:proofErr w:type="gramEnd"/>
      <w:r w:rsidR="00EF2A84">
        <w:rPr>
          <w:i/>
          <w:szCs w:val="22"/>
        </w:rPr>
        <w:t xml:space="preserve"> </w:t>
      </w:r>
      <w:r w:rsidR="00EF2A84" w:rsidRPr="00EF2A84">
        <w:rPr>
          <w:szCs w:val="22"/>
        </w:rPr>
        <w:t>1999;</w:t>
      </w:r>
      <w:r w:rsidRPr="00B968AE">
        <w:rPr>
          <w:szCs w:val="22"/>
        </w:rPr>
        <w:t xml:space="preserve"> 60: 526-532.</w:t>
      </w:r>
    </w:p>
    <w:p w14:paraId="1CD19B0A" w14:textId="752F0898" w:rsidR="00100F00" w:rsidRPr="00B968AE" w:rsidRDefault="004E5385" w:rsidP="004E5385">
      <w:pPr>
        <w:numPr>
          <w:ilvl w:val="0"/>
          <w:numId w:val="34"/>
        </w:numPr>
        <w:autoSpaceDE w:val="0"/>
        <w:autoSpaceDN w:val="0"/>
        <w:adjustRightInd w:val="0"/>
        <w:rPr>
          <w:szCs w:val="22"/>
        </w:rPr>
      </w:pPr>
      <w:proofErr w:type="spellStart"/>
      <w:r w:rsidRPr="00B968AE">
        <w:rPr>
          <w:szCs w:val="22"/>
        </w:rPr>
        <w:t>Mulenga</w:t>
      </w:r>
      <w:proofErr w:type="spellEnd"/>
      <w:r w:rsidRPr="00B968AE">
        <w:rPr>
          <w:szCs w:val="22"/>
        </w:rPr>
        <w:t xml:space="preserve"> M, </w:t>
      </w:r>
      <w:proofErr w:type="spellStart"/>
      <w:r w:rsidRPr="00B968AE">
        <w:rPr>
          <w:szCs w:val="22"/>
        </w:rPr>
        <w:t>Sukwa</w:t>
      </w:r>
      <w:proofErr w:type="spellEnd"/>
      <w:r w:rsidRPr="00B968AE">
        <w:rPr>
          <w:szCs w:val="22"/>
        </w:rPr>
        <w:t xml:space="preserve"> TY, Canfield CJ, Hutchinson D, </w:t>
      </w:r>
      <w:proofErr w:type="spellStart"/>
      <w:r w:rsidRPr="00B968AE">
        <w:rPr>
          <w:szCs w:val="22"/>
        </w:rPr>
        <w:t>Kremsner</w:t>
      </w:r>
      <w:proofErr w:type="spellEnd"/>
      <w:r w:rsidRPr="00B968AE">
        <w:rPr>
          <w:szCs w:val="22"/>
        </w:rPr>
        <w:t xml:space="preserve"> P. </w:t>
      </w:r>
      <w:proofErr w:type="spellStart"/>
      <w:r w:rsidRPr="00B968AE">
        <w:rPr>
          <w:szCs w:val="22"/>
        </w:rPr>
        <w:t>Atovaquone</w:t>
      </w:r>
      <w:proofErr w:type="spellEnd"/>
      <w:r w:rsidRPr="00B968AE">
        <w:rPr>
          <w:szCs w:val="22"/>
        </w:rPr>
        <w:t xml:space="preserve"> and </w:t>
      </w:r>
      <w:proofErr w:type="spellStart"/>
      <w:r w:rsidRPr="00B968AE">
        <w:rPr>
          <w:szCs w:val="22"/>
        </w:rPr>
        <w:t>proguanil</w:t>
      </w:r>
      <w:proofErr w:type="spellEnd"/>
      <w:r w:rsidRPr="00B968AE">
        <w:rPr>
          <w:szCs w:val="22"/>
        </w:rPr>
        <w:t xml:space="preserve"> versus </w:t>
      </w:r>
      <w:proofErr w:type="spellStart"/>
      <w:r w:rsidRPr="00B968AE">
        <w:rPr>
          <w:szCs w:val="22"/>
        </w:rPr>
        <w:t>pyrimethamine</w:t>
      </w:r>
      <w:proofErr w:type="spellEnd"/>
      <w:r w:rsidRPr="00B968AE">
        <w:rPr>
          <w:szCs w:val="22"/>
        </w:rPr>
        <w:t>/</w:t>
      </w:r>
      <w:proofErr w:type="spellStart"/>
      <w:r w:rsidRPr="00B968AE">
        <w:rPr>
          <w:szCs w:val="22"/>
        </w:rPr>
        <w:t>sulfadoxine</w:t>
      </w:r>
      <w:proofErr w:type="spellEnd"/>
      <w:r w:rsidRPr="00B968AE">
        <w:rPr>
          <w:szCs w:val="22"/>
        </w:rPr>
        <w:t xml:space="preserve"> for the treatment of acute </w:t>
      </w:r>
      <w:r w:rsidRPr="00D5361B">
        <w:rPr>
          <w:i/>
          <w:szCs w:val="22"/>
        </w:rPr>
        <w:t>falciparum</w:t>
      </w:r>
      <w:r w:rsidRPr="00B968AE">
        <w:rPr>
          <w:szCs w:val="22"/>
        </w:rPr>
        <w:t xml:space="preserve"> malaria in Zambia. </w:t>
      </w:r>
      <w:proofErr w:type="spellStart"/>
      <w:r w:rsidRPr="00B968AE">
        <w:rPr>
          <w:i/>
          <w:szCs w:val="22"/>
        </w:rPr>
        <w:t>Clin</w:t>
      </w:r>
      <w:proofErr w:type="spellEnd"/>
      <w:r w:rsidRPr="00B968AE">
        <w:rPr>
          <w:i/>
          <w:szCs w:val="22"/>
        </w:rPr>
        <w:t xml:space="preserve"> </w:t>
      </w:r>
      <w:proofErr w:type="spellStart"/>
      <w:r w:rsidRPr="00B968AE">
        <w:rPr>
          <w:i/>
          <w:szCs w:val="22"/>
        </w:rPr>
        <w:t>Ther</w:t>
      </w:r>
      <w:proofErr w:type="spellEnd"/>
      <w:r w:rsidR="00EF2A84">
        <w:rPr>
          <w:szCs w:val="22"/>
        </w:rPr>
        <w:t>. 1</w:t>
      </w:r>
      <w:r w:rsidR="00EF2A84" w:rsidRPr="00B968AE">
        <w:rPr>
          <w:szCs w:val="22"/>
        </w:rPr>
        <w:t>999</w:t>
      </w:r>
      <w:r w:rsidR="00EF2A84">
        <w:rPr>
          <w:szCs w:val="22"/>
        </w:rPr>
        <w:t xml:space="preserve">; </w:t>
      </w:r>
      <w:r w:rsidRPr="00B968AE">
        <w:rPr>
          <w:szCs w:val="22"/>
        </w:rPr>
        <w:t>21: 841-852.</w:t>
      </w:r>
    </w:p>
    <w:p w14:paraId="401F8C86" w14:textId="783D37D1" w:rsidR="00100F00" w:rsidRPr="00B968AE" w:rsidRDefault="004E5385" w:rsidP="004E5385">
      <w:pPr>
        <w:numPr>
          <w:ilvl w:val="0"/>
          <w:numId w:val="34"/>
        </w:numPr>
        <w:autoSpaceDE w:val="0"/>
        <w:autoSpaceDN w:val="0"/>
        <w:adjustRightInd w:val="0"/>
        <w:rPr>
          <w:szCs w:val="22"/>
        </w:rPr>
      </w:pPr>
      <w:r w:rsidRPr="00B968AE">
        <w:rPr>
          <w:szCs w:val="22"/>
        </w:rPr>
        <w:t xml:space="preserve">Bustos DG, Canfield CJ, </w:t>
      </w:r>
      <w:proofErr w:type="spellStart"/>
      <w:r w:rsidRPr="00B968AE">
        <w:rPr>
          <w:szCs w:val="22"/>
        </w:rPr>
        <w:t>Canet</w:t>
      </w:r>
      <w:proofErr w:type="spellEnd"/>
      <w:r w:rsidRPr="00B968AE">
        <w:rPr>
          <w:szCs w:val="22"/>
        </w:rPr>
        <w:t>-Miguel E, Hutchinson DB</w:t>
      </w:r>
      <w:r w:rsidR="00EF2A84">
        <w:rPr>
          <w:szCs w:val="22"/>
        </w:rPr>
        <w:t xml:space="preserve">. </w:t>
      </w:r>
      <w:proofErr w:type="spellStart"/>
      <w:r w:rsidRPr="00B968AE">
        <w:rPr>
          <w:szCs w:val="22"/>
        </w:rPr>
        <w:t>Atovaquone</w:t>
      </w:r>
      <w:proofErr w:type="spellEnd"/>
      <w:r w:rsidRPr="00B968AE">
        <w:rPr>
          <w:szCs w:val="22"/>
        </w:rPr>
        <w:t xml:space="preserve"> </w:t>
      </w:r>
      <w:proofErr w:type="spellStart"/>
      <w:r w:rsidRPr="00B968AE">
        <w:rPr>
          <w:szCs w:val="22"/>
        </w:rPr>
        <w:t>proguanil</w:t>
      </w:r>
      <w:proofErr w:type="spellEnd"/>
      <w:r w:rsidRPr="00B968AE">
        <w:rPr>
          <w:szCs w:val="22"/>
        </w:rPr>
        <w:t xml:space="preserve"> compared with </w:t>
      </w:r>
      <w:proofErr w:type="spellStart"/>
      <w:r w:rsidRPr="00B968AE">
        <w:rPr>
          <w:szCs w:val="22"/>
        </w:rPr>
        <w:t>chloroquine</w:t>
      </w:r>
      <w:proofErr w:type="spellEnd"/>
      <w:r w:rsidRPr="00B968AE">
        <w:rPr>
          <w:szCs w:val="22"/>
        </w:rPr>
        <w:t xml:space="preserve"> and </w:t>
      </w:r>
      <w:proofErr w:type="spellStart"/>
      <w:r w:rsidRPr="00B968AE">
        <w:rPr>
          <w:szCs w:val="22"/>
        </w:rPr>
        <w:t>chloroquine-sulfasoxine-pyramethamine</w:t>
      </w:r>
      <w:proofErr w:type="spellEnd"/>
      <w:r w:rsidRPr="00B968AE">
        <w:rPr>
          <w:szCs w:val="22"/>
        </w:rPr>
        <w:t xml:space="preserve"> for the treatment of acute Plasmodium </w:t>
      </w:r>
      <w:r w:rsidRPr="00D5361B">
        <w:rPr>
          <w:i/>
          <w:szCs w:val="22"/>
        </w:rPr>
        <w:t>falciparum</w:t>
      </w:r>
      <w:r w:rsidRPr="00B968AE">
        <w:rPr>
          <w:szCs w:val="22"/>
        </w:rPr>
        <w:t xml:space="preserve"> malaria in the Philippines. J Infect DIS</w:t>
      </w:r>
      <w:r w:rsidR="00EF2A84">
        <w:rPr>
          <w:szCs w:val="22"/>
        </w:rPr>
        <w:t>.1999</w:t>
      </w:r>
      <w:r w:rsidR="0098758E">
        <w:rPr>
          <w:szCs w:val="22"/>
        </w:rPr>
        <w:t xml:space="preserve">; </w:t>
      </w:r>
      <w:r w:rsidR="0098758E" w:rsidRPr="00B968AE">
        <w:rPr>
          <w:szCs w:val="22"/>
        </w:rPr>
        <w:t>179</w:t>
      </w:r>
      <w:r w:rsidRPr="00B968AE">
        <w:rPr>
          <w:szCs w:val="22"/>
        </w:rPr>
        <w:t>: 1587-1590.</w:t>
      </w:r>
    </w:p>
    <w:p w14:paraId="1DC33D8A" w14:textId="03C385AF" w:rsidR="00750445" w:rsidRPr="00B968AE" w:rsidRDefault="004E5385" w:rsidP="004E5385">
      <w:pPr>
        <w:numPr>
          <w:ilvl w:val="0"/>
          <w:numId w:val="34"/>
        </w:numPr>
        <w:autoSpaceDE w:val="0"/>
        <w:autoSpaceDN w:val="0"/>
        <w:adjustRightInd w:val="0"/>
        <w:rPr>
          <w:szCs w:val="22"/>
        </w:rPr>
      </w:pPr>
      <w:r w:rsidRPr="00B968AE">
        <w:rPr>
          <w:szCs w:val="22"/>
        </w:rPr>
        <w:t>Llanos-</w:t>
      </w:r>
      <w:proofErr w:type="spellStart"/>
      <w:r w:rsidRPr="00B968AE">
        <w:rPr>
          <w:szCs w:val="22"/>
        </w:rPr>
        <w:t>Cuenta</w:t>
      </w:r>
      <w:proofErr w:type="spellEnd"/>
      <w:r w:rsidRPr="00B968AE">
        <w:rPr>
          <w:szCs w:val="22"/>
        </w:rPr>
        <w:t xml:space="preserve"> A, Campos P, </w:t>
      </w:r>
      <w:proofErr w:type="spellStart"/>
      <w:r w:rsidRPr="00B968AE">
        <w:rPr>
          <w:szCs w:val="22"/>
        </w:rPr>
        <w:t>Clendenes</w:t>
      </w:r>
      <w:proofErr w:type="spellEnd"/>
      <w:r w:rsidRPr="00B968AE">
        <w:rPr>
          <w:szCs w:val="22"/>
        </w:rPr>
        <w:t xml:space="preserve"> M, Canfield CJ, Hutchinson DB</w:t>
      </w:r>
      <w:r w:rsidR="0098758E">
        <w:rPr>
          <w:szCs w:val="22"/>
        </w:rPr>
        <w:t xml:space="preserve">. </w:t>
      </w:r>
      <w:r w:rsidRPr="00B968AE">
        <w:rPr>
          <w:szCs w:val="22"/>
        </w:rPr>
        <w:t xml:space="preserve">Atovaquone and proguanil hydrochloride compared with </w:t>
      </w:r>
      <w:proofErr w:type="spellStart"/>
      <w:r w:rsidRPr="00B968AE">
        <w:rPr>
          <w:szCs w:val="22"/>
        </w:rPr>
        <w:t>chloroquine</w:t>
      </w:r>
      <w:proofErr w:type="spellEnd"/>
      <w:r w:rsidRPr="00B968AE">
        <w:rPr>
          <w:szCs w:val="22"/>
        </w:rPr>
        <w:t xml:space="preserve"> or </w:t>
      </w:r>
      <w:proofErr w:type="spellStart"/>
      <w:r w:rsidRPr="00B968AE">
        <w:rPr>
          <w:szCs w:val="22"/>
        </w:rPr>
        <w:t>pyrimthamine</w:t>
      </w:r>
      <w:proofErr w:type="spellEnd"/>
      <w:r w:rsidRPr="00B968AE">
        <w:rPr>
          <w:szCs w:val="22"/>
        </w:rPr>
        <w:t>/</w:t>
      </w:r>
      <w:proofErr w:type="spellStart"/>
      <w:r w:rsidRPr="00B968AE">
        <w:rPr>
          <w:szCs w:val="22"/>
        </w:rPr>
        <w:t>sulfodaxine</w:t>
      </w:r>
      <w:proofErr w:type="spellEnd"/>
      <w:r w:rsidRPr="00B968AE">
        <w:rPr>
          <w:szCs w:val="22"/>
        </w:rPr>
        <w:t xml:space="preserve"> for the treatment of acute Plasmodium </w:t>
      </w:r>
      <w:r w:rsidRPr="00D5361B">
        <w:rPr>
          <w:i/>
          <w:szCs w:val="22"/>
        </w:rPr>
        <w:t>falciparum</w:t>
      </w:r>
      <w:r w:rsidRPr="00B968AE">
        <w:rPr>
          <w:szCs w:val="22"/>
        </w:rPr>
        <w:t xml:space="preserve"> malaria in Peru. </w:t>
      </w:r>
      <w:proofErr w:type="spellStart"/>
      <w:r w:rsidRPr="00B968AE">
        <w:rPr>
          <w:szCs w:val="22"/>
        </w:rPr>
        <w:t>Braz</w:t>
      </w:r>
      <w:proofErr w:type="spellEnd"/>
      <w:r w:rsidRPr="00B968AE">
        <w:rPr>
          <w:szCs w:val="22"/>
        </w:rPr>
        <w:t xml:space="preserve"> J Infect Dis. </w:t>
      </w:r>
      <w:r w:rsidR="0098758E">
        <w:rPr>
          <w:szCs w:val="22"/>
        </w:rPr>
        <w:t xml:space="preserve">2001; </w:t>
      </w:r>
      <w:r w:rsidRPr="00B968AE">
        <w:rPr>
          <w:szCs w:val="22"/>
        </w:rPr>
        <w:t>5: 67-72.</w:t>
      </w:r>
    </w:p>
    <w:p w14:paraId="5469077B" w14:textId="3EE3DB62" w:rsidR="00750445" w:rsidRPr="00B968AE" w:rsidRDefault="004E5385" w:rsidP="00750445">
      <w:pPr>
        <w:numPr>
          <w:ilvl w:val="0"/>
          <w:numId w:val="34"/>
        </w:numPr>
        <w:autoSpaceDE w:val="0"/>
        <w:autoSpaceDN w:val="0"/>
        <w:adjustRightInd w:val="0"/>
        <w:rPr>
          <w:szCs w:val="22"/>
        </w:rPr>
      </w:pPr>
      <w:proofErr w:type="spellStart"/>
      <w:r w:rsidRPr="00B968AE">
        <w:rPr>
          <w:szCs w:val="22"/>
        </w:rPr>
        <w:t>Radloff</w:t>
      </w:r>
      <w:proofErr w:type="spellEnd"/>
      <w:r w:rsidRPr="00B968AE">
        <w:rPr>
          <w:szCs w:val="22"/>
        </w:rPr>
        <w:t xml:space="preserve"> PD, </w:t>
      </w:r>
      <w:proofErr w:type="spellStart"/>
      <w:r w:rsidRPr="00B968AE">
        <w:rPr>
          <w:szCs w:val="22"/>
        </w:rPr>
        <w:t>Phillipps</w:t>
      </w:r>
      <w:proofErr w:type="spellEnd"/>
      <w:r w:rsidRPr="00B968AE">
        <w:rPr>
          <w:szCs w:val="22"/>
        </w:rPr>
        <w:t xml:space="preserve"> J, </w:t>
      </w:r>
      <w:proofErr w:type="spellStart"/>
      <w:r w:rsidRPr="00B968AE">
        <w:rPr>
          <w:szCs w:val="22"/>
        </w:rPr>
        <w:t>Nk</w:t>
      </w:r>
      <w:r w:rsidR="00EF2A84">
        <w:rPr>
          <w:szCs w:val="22"/>
        </w:rPr>
        <w:t>eyi</w:t>
      </w:r>
      <w:proofErr w:type="spellEnd"/>
      <w:r w:rsidR="00EF2A84">
        <w:rPr>
          <w:szCs w:val="22"/>
        </w:rPr>
        <w:t xml:space="preserve"> M, Hutchinson D, </w:t>
      </w:r>
      <w:proofErr w:type="spellStart"/>
      <w:r w:rsidR="00EF2A84">
        <w:rPr>
          <w:szCs w:val="22"/>
        </w:rPr>
        <w:t>Kremsner</w:t>
      </w:r>
      <w:proofErr w:type="spellEnd"/>
      <w:r w:rsidR="0098758E">
        <w:rPr>
          <w:szCs w:val="22"/>
        </w:rPr>
        <w:t xml:space="preserve">. </w:t>
      </w:r>
      <w:r w:rsidRPr="00B968AE">
        <w:rPr>
          <w:szCs w:val="22"/>
        </w:rPr>
        <w:t xml:space="preserve">Atovaquone and proguanil for Plasmodium </w:t>
      </w:r>
      <w:r w:rsidRPr="00D5361B">
        <w:rPr>
          <w:i/>
          <w:szCs w:val="22"/>
        </w:rPr>
        <w:t>falciparum</w:t>
      </w:r>
      <w:r w:rsidRPr="00B968AE">
        <w:rPr>
          <w:szCs w:val="22"/>
        </w:rPr>
        <w:t xml:space="preserve"> malaria. Lancet</w:t>
      </w:r>
      <w:r w:rsidR="0098758E">
        <w:rPr>
          <w:szCs w:val="22"/>
        </w:rPr>
        <w:t xml:space="preserve">. 1996; </w:t>
      </w:r>
      <w:r w:rsidRPr="00B968AE">
        <w:rPr>
          <w:szCs w:val="22"/>
        </w:rPr>
        <w:t xml:space="preserve"> 347: 1511-1514</w:t>
      </w:r>
    </w:p>
    <w:p w14:paraId="666A05A3" w14:textId="51D8097D" w:rsidR="00EF2A84" w:rsidRDefault="00750445" w:rsidP="00EF2A84">
      <w:pPr>
        <w:numPr>
          <w:ilvl w:val="0"/>
          <w:numId w:val="34"/>
        </w:numPr>
        <w:autoSpaceDE w:val="0"/>
        <w:autoSpaceDN w:val="0"/>
        <w:adjustRightInd w:val="0"/>
        <w:rPr>
          <w:color w:val="000000"/>
          <w:szCs w:val="22"/>
        </w:rPr>
      </w:pPr>
      <w:r w:rsidRPr="00D24BD0">
        <w:rPr>
          <w:color w:val="000000"/>
          <w:szCs w:val="22"/>
        </w:rPr>
        <w:t xml:space="preserve">FDA product review documents. Available at </w:t>
      </w:r>
      <w:hyperlink r:id="rId22" w:history="1">
        <w:r w:rsidRPr="00D24BD0">
          <w:rPr>
            <w:rStyle w:val="Hyperlink"/>
            <w:szCs w:val="22"/>
          </w:rPr>
          <w:t>http://www.accessdata.fda.gov/drugsatfda_docs/nda/2000/021078_malarone.cfm</w:t>
        </w:r>
      </w:hyperlink>
      <w:r w:rsidRPr="00D24BD0">
        <w:rPr>
          <w:color w:val="1F497D"/>
          <w:szCs w:val="22"/>
        </w:rPr>
        <w:t xml:space="preserve">. </w:t>
      </w:r>
      <w:r w:rsidRPr="00D24BD0">
        <w:rPr>
          <w:color w:val="000000"/>
          <w:szCs w:val="22"/>
        </w:rPr>
        <w:t>Accessed on 03/07/201</w:t>
      </w:r>
      <w:r w:rsidR="00EF2A84">
        <w:rPr>
          <w:color w:val="000000"/>
          <w:szCs w:val="22"/>
        </w:rPr>
        <w:t>4.</w:t>
      </w:r>
    </w:p>
    <w:p w14:paraId="77520D04" w14:textId="271F3A89" w:rsidR="00EF2A84" w:rsidRPr="00E9403D" w:rsidRDefault="00EF2A84" w:rsidP="00EF2A84">
      <w:pPr>
        <w:numPr>
          <w:ilvl w:val="0"/>
          <w:numId w:val="34"/>
        </w:numPr>
        <w:autoSpaceDE w:val="0"/>
        <w:autoSpaceDN w:val="0"/>
        <w:adjustRightInd w:val="0"/>
        <w:rPr>
          <w:color w:val="000000"/>
          <w:szCs w:val="22"/>
        </w:rPr>
      </w:pPr>
      <w:proofErr w:type="spellStart"/>
      <w:r w:rsidRPr="00EF2A84">
        <w:rPr>
          <w:color w:val="000000"/>
          <w:szCs w:val="22"/>
        </w:rPr>
        <w:t>Koleba</w:t>
      </w:r>
      <w:proofErr w:type="spellEnd"/>
      <w:r w:rsidRPr="00EF2A84">
        <w:rPr>
          <w:color w:val="000000"/>
          <w:szCs w:val="22"/>
        </w:rPr>
        <w:t xml:space="preserve"> T, </w:t>
      </w:r>
      <w:proofErr w:type="spellStart"/>
      <w:r w:rsidRPr="00EF2A84">
        <w:rPr>
          <w:color w:val="000000"/>
          <w:szCs w:val="22"/>
        </w:rPr>
        <w:t>Yakiqchuk</w:t>
      </w:r>
      <w:proofErr w:type="spellEnd"/>
      <w:r w:rsidRPr="00EF2A84">
        <w:rPr>
          <w:color w:val="000000"/>
          <w:szCs w:val="22"/>
        </w:rPr>
        <w:t xml:space="preserve"> E, </w:t>
      </w:r>
      <w:proofErr w:type="spellStart"/>
      <w:r w:rsidRPr="00EF2A84">
        <w:rPr>
          <w:color w:val="000000"/>
          <w:szCs w:val="22"/>
        </w:rPr>
        <w:t>Foisy</w:t>
      </w:r>
      <w:proofErr w:type="spellEnd"/>
      <w:r w:rsidRPr="00EF2A84">
        <w:rPr>
          <w:color w:val="000000"/>
          <w:szCs w:val="22"/>
        </w:rPr>
        <w:t xml:space="preserve"> M, Hughes C, Tseng A. Interaction between </w:t>
      </w:r>
      <w:proofErr w:type="spellStart"/>
      <w:r w:rsidRPr="00EF2A84">
        <w:rPr>
          <w:color w:val="000000"/>
          <w:szCs w:val="22"/>
        </w:rPr>
        <w:t>antimalarials</w:t>
      </w:r>
      <w:proofErr w:type="spellEnd"/>
      <w:r w:rsidRPr="00EF2A84">
        <w:rPr>
          <w:color w:val="000000"/>
          <w:szCs w:val="22"/>
        </w:rPr>
        <w:t xml:space="preserve"> and </w:t>
      </w:r>
      <w:proofErr w:type="spellStart"/>
      <w:r w:rsidRPr="00EF2A84">
        <w:rPr>
          <w:color w:val="000000"/>
          <w:szCs w:val="22"/>
        </w:rPr>
        <w:t>antiretrovials</w:t>
      </w:r>
      <w:proofErr w:type="spellEnd"/>
      <w:r w:rsidRPr="00EF2A84">
        <w:rPr>
          <w:color w:val="000000"/>
          <w:szCs w:val="22"/>
        </w:rPr>
        <w:t xml:space="preserve">. </w:t>
      </w:r>
      <w:r>
        <w:rPr>
          <w:color w:val="000000"/>
          <w:szCs w:val="22"/>
        </w:rPr>
        <w:t xml:space="preserve">Available at </w:t>
      </w:r>
      <w:r w:rsidRPr="00EF2A84">
        <w:rPr>
          <w:i/>
          <w:iCs/>
          <w:color w:val="222222"/>
          <w:szCs w:val="22"/>
        </w:rPr>
        <w:t>www.hivclinic.ca/main/drugs_</w:t>
      </w:r>
      <w:r w:rsidRPr="00EF2A84">
        <w:rPr>
          <w:bCs/>
          <w:i/>
          <w:iCs/>
          <w:color w:val="222222"/>
          <w:szCs w:val="22"/>
        </w:rPr>
        <w:t>interact</w:t>
      </w:r>
      <w:r w:rsidRPr="00EF2A84">
        <w:rPr>
          <w:i/>
          <w:iCs/>
          <w:color w:val="222222"/>
          <w:szCs w:val="22"/>
        </w:rPr>
        <w:t>_files/</w:t>
      </w:r>
      <w:r w:rsidRPr="00EF2A84">
        <w:rPr>
          <w:bCs/>
          <w:i/>
          <w:iCs/>
          <w:color w:val="222222"/>
          <w:szCs w:val="22"/>
        </w:rPr>
        <w:t>Antimalarial</w:t>
      </w:r>
      <w:r w:rsidRPr="00EF2A84">
        <w:rPr>
          <w:i/>
          <w:iCs/>
          <w:color w:val="222222"/>
          <w:szCs w:val="22"/>
        </w:rPr>
        <w:t>-int.pdf</w:t>
      </w:r>
      <w:r w:rsidRPr="00EF2A84">
        <w:rPr>
          <w:color w:val="222222"/>
          <w:szCs w:val="22"/>
        </w:rPr>
        <w:t>‎</w:t>
      </w:r>
      <w:r>
        <w:rPr>
          <w:color w:val="222222"/>
          <w:szCs w:val="22"/>
        </w:rPr>
        <w:t xml:space="preserve">. </w:t>
      </w:r>
      <w:r w:rsidR="008D6C26">
        <w:rPr>
          <w:color w:val="222222"/>
          <w:szCs w:val="22"/>
        </w:rPr>
        <w:t>Accessed</w:t>
      </w:r>
      <w:r>
        <w:rPr>
          <w:color w:val="222222"/>
          <w:szCs w:val="22"/>
        </w:rPr>
        <w:t xml:space="preserve"> on 03/07/2014</w:t>
      </w:r>
      <w:r w:rsidR="00A0684B">
        <w:rPr>
          <w:color w:val="222222"/>
          <w:szCs w:val="22"/>
        </w:rPr>
        <w:t xml:space="preserve">. </w:t>
      </w:r>
    </w:p>
    <w:p w14:paraId="25B6E2EE" w14:textId="2282B6B6" w:rsidR="008D6C26" w:rsidRPr="00D31B16" w:rsidRDefault="008D6C26" w:rsidP="008D6C26">
      <w:pPr>
        <w:numPr>
          <w:ilvl w:val="0"/>
          <w:numId w:val="34"/>
        </w:numPr>
        <w:autoSpaceDE w:val="0"/>
        <w:autoSpaceDN w:val="0"/>
        <w:adjustRightInd w:val="0"/>
        <w:rPr>
          <w:color w:val="000000"/>
          <w:szCs w:val="22"/>
        </w:rPr>
      </w:pPr>
      <w:proofErr w:type="spellStart"/>
      <w:r>
        <w:rPr>
          <w:color w:val="222222"/>
          <w:szCs w:val="22"/>
        </w:rPr>
        <w:t>Aidsinfo</w:t>
      </w:r>
      <w:proofErr w:type="spellEnd"/>
      <w:r>
        <w:rPr>
          <w:color w:val="222222"/>
          <w:szCs w:val="22"/>
        </w:rPr>
        <w:t xml:space="preserve">. </w:t>
      </w:r>
      <w:hyperlink r:id="rId23" w:tooltip="HTML Full Version" w:history="1">
        <w:r w:rsidRPr="0098758E">
          <w:rPr>
            <w:szCs w:val="22"/>
          </w:rPr>
          <w:t xml:space="preserve">Guidelines for the Use of Antiretroviral Agents in HIV-1-Infected Adults </w:t>
        </w:r>
        <w:r w:rsidRPr="0098758E">
          <w:rPr>
            <w:sz w:val="20"/>
          </w:rPr>
          <w:t>and Adolescents</w:t>
        </w:r>
      </w:hyperlink>
      <w:r w:rsidR="0098758E">
        <w:rPr>
          <w:rFonts w:ascii="Lucida Sans Unicode" w:hAnsi="Lucida Sans Unicode" w:cs="Lucida Sans Unicode"/>
          <w:color w:val="06539A"/>
          <w:sz w:val="20"/>
        </w:rPr>
        <w:t xml:space="preserve">. </w:t>
      </w:r>
      <w:r>
        <w:rPr>
          <w:color w:val="222222"/>
          <w:szCs w:val="22"/>
        </w:rPr>
        <w:t xml:space="preserve">Available at </w:t>
      </w:r>
      <w:hyperlink r:id="rId24" w:history="1">
        <w:r w:rsidR="001B02DD" w:rsidRPr="001B02DD">
          <w:rPr>
            <w:rStyle w:val="Hyperlink"/>
            <w:szCs w:val="22"/>
          </w:rPr>
          <w:t>http://aidsinfo.nih.gov/guidelines</w:t>
        </w:r>
        <w:r w:rsidR="001B02DD" w:rsidRPr="00EA1C14">
          <w:rPr>
            <w:rStyle w:val="Hyperlink"/>
            <w:szCs w:val="22"/>
          </w:rPr>
          <w:t>. Accessed on 03/07/2014</w:t>
        </w:r>
      </w:hyperlink>
      <w:r>
        <w:rPr>
          <w:color w:val="222222"/>
          <w:szCs w:val="22"/>
        </w:rPr>
        <w:t>.</w:t>
      </w:r>
    </w:p>
    <w:p w14:paraId="18C91836" w14:textId="08621BA4" w:rsidR="001B02DD" w:rsidRPr="00D31B16" w:rsidRDefault="001B02DD" w:rsidP="006A6579">
      <w:pPr>
        <w:numPr>
          <w:ilvl w:val="0"/>
          <w:numId w:val="34"/>
        </w:numPr>
        <w:autoSpaceDE w:val="0"/>
        <w:autoSpaceDN w:val="0"/>
        <w:adjustRightInd w:val="0"/>
        <w:rPr>
          <w:color w:val="000000"/>
          <w:szCs w:val="22"/>
        </w:rPr>
      </w:pPr>
      <w:r>
        <w:rPr>
          <w:color w:val="222222"/>
          <w:szCs w:val="22"/>
        </w:rPr>
        <w:t xml:space="preserve">FDA statistical review documents. Available at. </w:t>
      </w:r>
      <w:hyperlink r:id="rId25" w:history="1">
        <w:r w:rsidR="006A6579" w:rsidRPr="00EA1C14">
          <w:rPr>
            <w:rStyle w:val="Hyperlink"/>
            <w:szCs w:val="22"/>
          </w:rPr>
          <w:t>http://www.accessdata.fda.gov/drugsatfda_docs/nda/2000/21-078_Malarone_Statr.pdf</w:t>
        </w:r>
      </w:hyperlink>
      <w:r w:rsidR="006A6579">
        <w:rPr>
          <w:color w:val="222222"/>
          <w:szCs w:val="22"/>
        </w:rPr>
        <w:t>. Accessed on 05/02/2014</w:t>
      </w:r>
    </w:p>
    <w:p w14:paraId="1C4747C2" w14:textId="793CDEBE" w:rsidR="00537E8D" w:rsidRPr="00D47A31" w:rsidRDefault="001B02DD" w:rsidP="00D47A31">
      <w:pPr>
        <w:numPr>
          <w:ilvl w:val="0"/>
          <w:numId w:val="34"/>
        </w:numPr>
        <w:autoSpaceDE w:val="0"/>
        <w:autoSpaceDN w:val="0"/>
        <w:adjustRightInd w:val="0"/>
        <w:rPr>
          <w:color w:val="000000"/>
          <w:szCs w:val="22"/>
        </w:rPr>
      </w:pPr>
      <w:r>
        <w:rPr>
          <w:color w:val="222222"/>
          <w:szCs w:val="22"/>
        </w:rPr>
        <w:t xml:space="preserve">FDA medical review documents. Available at </w:t>
      </w:r>
      <w:hyperlink r:id="rId26" w:history="1">
        <w:r w:rsidR="006A6579" w:rsidRPr="00EA1C14">
          <w:rPr>
            <w:rStyle w:val="Hyperlink"/>
            <w:szCs w:val="22"/>
          </w:rPr>
          <w:t>http://www.accessdata.fda.gov/drugsatfda_docs/nda/2002/021078_S003_MALARONE%20TABLETS_MEDR.pdf</w:t>
        </w:r>
      </w:hyperlink>
      <w:r w:rsidR="006A6579">
        <w:rPr>
          <w:color w:val="222222"/>
          <w:szCs w:val="22"/>
        </w:rPr>
        <w:t>. Accessed on 05/02/2014</w:t>
      </w:r>
    </w:p>
    <w:p w14:paraId="2F3A1C61" w14:textId="77777777" w:rsidR="00D47A31" w:rsidRPr="00D47A31" w:rsidRDefault="00D47A31" w:rsidP="00D47A31">
      <w:pPr>
        <w:autoSpaceDE w:val="0"/>
        <w:autoSpaceDN w:val="0"/>
        <w:adjustRightInd w:val="0"/>
        <w:ind w:left="360"/>
        <w:rPr>
          <w:color w:val="000000"/>
          <w:szCs w:val="22"/>
        </w:rPr>
      </w:pPr>
      <w:bookmarkStart w:id="1" w:name="_GoBack"/>
      <w:bookmarkEnd w:id="1"/>
    </w:p>
    <w:p w14:paraId="16473DDA" w14:textId="4D691EFD" w:rsidR="00A97819" w:rsidRPr="00D47A31" w:rsidRDefault="00537E8D" w:rsidP="00D47A31">
      <w:pPr>
        <w:pStyle w:val="FootnoteText"/>
        <w:pBdr>
          <w:top w:val="single" w:sz="4" w:space="1" w:color="auto"/>
          <w:bottom w:val="single" w:sz="4" w:space="1" w:color="auto"/>
        </w:pBdr>
        <w:rPr>
          <w:color w:val="000000"/>
          <w:sz w:val="22"/>
          <w:szCs w:val="22"/>
        </w:rPr>
        <w:sectPr w:rsidR="00A97819" w:rsidRPr="00D47A31" w:rsidSect="00BD57CA">
          <w:headerReference w:type="default" r:id="rId27"/>
          <w:footerReference w:type="default" r:id="rId28"/>
          <w:type w:val="continuous"/>
          <w:pgSz w:w="12240" w:h="15840"/>
          <w:pgMar w:top="720" w:right="1152" w:bottom="720" w:left="1152" w:header="720" w:footer="606" w:gutter="0"/>
          <w:cols w:space="720"/>
          <w:docGrid w:linePitch="299"/>
        </w:sectPr>
      </w:pPr>
      <w:r w:rsidRPr="00D24BD0">
        <w:rPr>
          <w:color w:val="000000"/>
          <w:sz w:val="22"/>
          <w:szCs w:val="22"/>
        </w:rPr>
        <w:t xml:space="preserve">Prepared </w:t>
      </w:r>
      <w:r w:rsidR="00D162F1" w:rsidRPr="00D24BD0">
        <w:rPr>
          <w:color w:val="000000"/>
          <w:sz w:val="22"/>
          <w:szCs w:val="22"/>
        </w:rPr>
        <w:t>03/2014</w:t>
      </w:r>
      <w:r w:rsidR="00D24BD0" w:rsidRPr="00D24BD0">
        <w:rPr>
          <w:color w:val="000000"/>
          <w:sz w:val="22"/>
          <w:szCs w:val="22"/>
        </w:rPr>
        <w:t xml:space="preserve"> by </w:t>
      </w:r>
      <w:r w:rsidR="00D162F1" w:rsidRPr="00D24BD0">
        <w:rPr>
          <w:color w:val="000000"/>
          <w:sz w:val="22"/>
          <w:szCs w:val="22"/>
        </w:rPr>
        <w:t>Ariel Ma</w:t>
      </w:r>
      <w:r w:rsidRPr="00D24BD0">
        <w:rPr>
          <w:color w:val="000000"/>
          <w:sz w:val="22"/>
          <w:szCs w:val="22"/>
        </w:rPr>
        <w:t xml:space="preserve">, </w:t>
      </w:r>
      <w:proofErr w:type="spellStart"/>
      <w:r w:rsidR="00D24BD0" w:rsidRPr="00D24BD0">
        <w:rPr>
          <w:color w:val="000000"/>
          <w:sz w:val="22"/>
          <w:szCs w:val="22"/>
        </w:rPr>
        <w:t>PharmD</w:t>
      </w:r>
      <w:proofErr w:type="spellEnd"/>
      <w:r w:rsidR="00D162F1" w:rsidRPr="00D24BD0">
        <w:rPr>
          <w:color w:val="000000"/>
          <w:sz w:val="22"/>
          <w:szCs w:val="22"/>
        </w:rPr>
        <w:t>, BCPS</w:t>
      </w:r>
      <w:r w:rsidR="00D24BD0" w:rsidRPr="00D24BD0">
        <w:rPr>
          <w:color w:val="000000"/>
          <w:sz w:val="22"/>
          <w:szCs w:val="22"/>
        </w:rPr>
        <w:t xml:space="preserve"> Contact Person: Melinda Neuhause</w:t>
      </w:r>
      <w:r w:rsidR="00D47A31">
        <w:rPr>
          <w:color w:val="000000"/>
          <w:sz w:val="22"/>
          <w:szCs w:val="22"/>
        </w:rPr>
        <w:t xml:space="preserve">r, </w:t>
      </w:r>
      <w:proofErr w:type="spellStart"/>
      <w:r w:rsidR="00D47A31">
        <w:rPr>
          <w:color w:val="000000"/>
          <w:sz w:val="22"/>
          <w:szCs w:val="22"/>
        </w:rPr>
        <w:t>PharmD</w:t>
      </w:r>
      <w:proofErr w:type="spellEnd"/>
      <w:r w:rsidR="00D47A31">
        <w:rPr>
          <w:color w:val="000000"/>
          <w:sz w:val="22"/>
          <w:szCs w:val="22"/>
        </w:rPr>
        <w:t xml:space="preserve">, MPH, VA PBM </w:t>
      </w:r>
      <w:r w:rsidR="00F530ED">
        <w:rPr>
          <w:color w:val="000000"/>
          <w:sz w:val="22"/>
          <w:szCs w:val="22"/>
        </w:rPr>
        <w:t>Services</w:t>
      </w:r>
    </w:p>
    <w:p w14:paraId="73CE9B6B" w14:textId="77777777" w:rsidR="00F4177B" w:rsidRPr="00B968AE" w:rsidRDefault="00F4177B" w:rsidP="00D47A31">
      <w:pPr>
        <w:rPr>
          <w:szCs w:val="22"/>
        </w:rPr>
      </w:pPr>
    </w:p>
    <w:sectPr w:rsidR="00F4177B" w:rsidRPr="00B968AE" w:rsidSect="00BA4CAE">
      <w:headerReference w:type="even" r:id="rId29"/>
      <w:headerReference w:type="default" r:id="rId30"/>
      <w:footerReference w:type="default" r:id="rId31"/>
      <w:headerReference w:type="first" r:id="rId32"/>
      <w:pgSz w:w="12240" w:h="15840" w:code="1"/>
      <w:pgMar w:top="1440" w:right="1800" w:bottom="1440" w:left="1800" w:header="720" w:footer="6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20FF6" w14:textId="77777777" w:rsidR="000875E8" w:rsidRDefault="000875E8">
      <w:r>
        <w:separator/>
      </w:r>
    </w:p>
  </w:endnote>
  <w:endnote w:type="continuationSeparator" w:id="0">
    <w:p w14:paraId="0CEBCFF1" w14:textId="77777777" w:rsidR="000875E8" w:rsidRDefault="0008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9" w:type="pct"/>
      <w:tblInd w:w="18" w:type="dxa"/>
      <w:tblBorders>
        <w:top w:val="single" w:sz="6" w:space="0" w:color="auto"/>
      </w:tblBorders>
      <w:tblLook w:val="00E0" w:firstRow="1" w:lastRow="1" w:firstColumn="1" w:lastColumn="0" w:noHBand="0" w:noVBand="0"/>
    </w:tblPr>
    <w:tblGrid>
      <w:gridCol w:w="8977"/>
      <w:gridCol w:w="294"/>
      <w:gridCol w:w="859"/>
    </w:tblGrid>
    <w:tr w:rsidR="000875E8" w14:paraId="3BBC3182" w14:textId="77777777" w:rsidTr="00DB4AFD">
      <w:trPr>
        <w:trHeight w:val="168"/>
      </w:trPr>
      <w:tc>
        <w:tcPr>
          <w:tcW w:w="4430" w:type="pct"/>
        </w:tcPr>
        <w:p w14:paraId="7F45A6B2" w14:textId="77777777" w:rsidR="000875E8" w:rsidRDefault="000875E8">
          <w:pPr>
            <w:pStyle w:val="Footer"/>
          </w:pPr>
        </w:p>
      </w:tc>
      <w:tc>
        <w:tcPr>
          <w:tcW w:w="145" w:type="pct"/>
        </w:tcPr>
        <w:p w14:paraId="2E18E8BC" w14:textId="77777777" w:rsidR="000875E8" w:rsidRDefault="000875E8">
          <w:pPr>
            <w:pStyle w:val="Footer"/>
          </w:pPr>
        </w:p>
      </w:tc>
      <w:tc>
        <w:tcPr>
          <w:tcW w:w="424" w:type="pct"/>
        </w:tcPr>
        <w:p w14:paraId="0CA547B2" w14:textId="60DA4868" w:rsidR="000875E8" w:rsidRDefault="000875E8">
          <w:pPr>
            <w:pStyle w:val="Footer"/>
            <w:jc w:val="right"/>
          </w:pPr>
        </w:p>
      </w:tc>
    </w:tr>
    <w:tr w:rsidR="000875E8" w14:paraId="24368575" w14:textId="77777777" w:rsidTr="00DB4AFD">
      <w:tc>
        <w:tcPr>
          <w:tcW w:w="4430" w:type="pct"/>
        </w:tcPr>
        <w:p w14:paraId="3DC42AC2" w14:textId="77777777" w:rsidR="000875E8" w:rsidRDefault="000875E8" w:rsidP="003761BC">
          <w:pPr>
            <w:pStyle w:val="Footer"/>
            <w:rPr>
              <w:i/>
              <w:iCs/>
            </w:rPr>
          </w:pPr>
          <w:r>
            <w:rPr>
              <w:i/>
              <w:iCs/>
            </w:rPr>
            <w:t xml:space="preserve">Updated version may be found at </w:t>
          </w:r>
          <w:hyperlink r:id="rId1" w:history="1">
            <w:r w:rsidRPr="00C449BC">
              <w:rPr>
                <w:rStyle w:val="Hyperlink"/>
                <w:i/>
                <w:iCs/>
              </w:rPr>
              <w:t>www.pbm.va.gov</w:t>
            </w:r>
          </w:hyperlink>
          <w:r>
            <w:rPr>
              <w:i/>
              <w:iCs/>
            </w:rPr>
            <w:t xml:space="preserve"> or </w:t>
          </w:r>
          <w:hyperlink r:id="rId2" w:history="1">
            <w:r w:rsidRPr="003076D5">
              <w:rPr>
                <w:rStyle w:val="Hyperlink"/>
                <w:i/>
                <w:iCs/>
              </w:rPr>
              <w:t>https://vaww.cmopnational.va.gov/cmop/PBM/default.aspx</w:t>
            </w:r>
          </w:hyperlink>
          <w:r>
            <w:rPr>
              <w:i/>
              <w:iCs/>
            </w:rPr>
            <w:t xml:space="preserve"> </w:t>
          </w:r>
        </w:p>
      </w:tc>
      <w:tc>
        <w:tcPr>
          <w:tcW w:w="145" w:type="pct"/>
        </w:tcPr>
        <w:p w14:paraId="29A928D9" w14:textId="77777777" w:rsidR="000875E8" w:rsidRDefault="000875E8">
          <w:pPr>
            <w:pStyle w:val="Footer"/>
          </w:pPr>
        </w:p>
      </w:tc>
      <w:tc>
        <w:tcPr>
          <w:tcW w:w="424" w:type="pct"/>
        </w:tcPr>
        <w:p w14:paraId="5990D48A" w14:textId="77777777" w:rsidR="000875E8" w:rsidRDefault="000875E8">
          <w:pPr>
            <w:pStyle w:val="Footer"/>
            <w:jc w:val="right"/>
          </w:pPr>
          <w:r>
            <w:rPr>
              <w:rStyle w:val="PageNumber"/>
            </w:rPr>
            <w:fldChar w:fldCharType="begin"/>
          </w:r>
          <w:r>
            <w:rPr>
              <w:rStyle w:val="PageNumber"/>
            </w:rPr>
            <w:instrText xml:space="preserve"> PAGE </w:instrText>
          </w:r>
          <w:r>
            <w:rPr>
              <w:rStyle w:val="PageNumber"/>
            </w:rPr>
            <w:fldChar w:fldCharType="separate"/>
          </w:r>
          <w:r w:rsidR="00F530ED">
            <w:rPr>
              <w:rStyle w:val="PageNumber"/>
              <w:noProof/>
            </w:rPr>
            <w:t>1</w:t>
          </w:r>
          <w:r>
            <w:rPr>
              <w:rStyle w:val="PageNumber"/>
            </w:rPr>
            <w:fldChar w:fldCharType="end"/>
          </w:r>
        </w:p>
      </w:tc>
    </w:tr>
  </w:tbl>
  <w:p w14:paraId="5AAA8C61" w14:textId="3118B4D8" w:rsidR="000875E8" w:rsidRDefault="00087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9F2D2" w14:textId="75F3AD3E" w:rsidR="000875E8" w:rsidRDefault="000875E8">
    <w:pPr>
      <w:pStyle w:val="Footer"/>
    </w:pPr>
  </w:p>
  <w:p w14:paraId="3D250A60" w14:textId="77777777" w:rsidR="000875E8" w:rsidRDefault="00087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81E5F" w14:textId="77777777" w:rsidR="000875E8" w:rsidRDefault="000875E8">
      <w:r>
        <w:separator/>
      </w:r>
    </w:p>
  </w:footnote>
  <w:footnote w:type="continuationSeparator" w:id="0">
    <w:p w14:paraId="43FA492F" w14:textId="77777777" w:rsidR="000875E8" w:rsidRDefault="00087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211"/>
      <w:gridCol w:w="311"/>
      <w:gridCol w:w="3630"/>
    </w:tblGrid>
    <w:tr w:rsidR="000875E8" w14:paraId="71571565" w14:textId="77777777" w:rsidTr="009C0F2B">
      <w:tc>
        <w:tcPr>
          <w:tcW w:w="3059" w:type="pct"/>
        </w:tcPr>
        <w:p w14:paraId="2935B873" w14:textId="1C70A49E" w:rsidR="000875E8" w:rsidRDefault="000875E8" w:rsidP="009C0F2B">
          <w:pPr>
            <w:pStyle w:val="Header"/>
            <w:rPr>
              <w:b/>
              <w:bCs/>
              <w:sz w:val="16"/>
            </w:rPr>
          </w:pPr>
        </w:p>
      </w:tc>
      <w:tc>
        <w:tcPr>
          <w:tcW w:w="153" w:type="pct"/>
        </w:tcPr>
        <w:p w14:paraId="0CF1E9E0" w14:textId="77777777" w:rsidR="000875E8" w:rsidRDefault="000875E8" w:rsidP="009C0F2B">
          <w:pPr>
            <w:pStyle w:val="Header"/>
          </w:pPr>
        </w:p>
      </w:tc>
      <w:tc>
        <w:tcPr>
          <w:tcW w:w="1788" w:type="pct"/>
        </w:tcPr>
        <w:p w14:paraId="37A5DE8A" w14:textId="77777777" w:rsidR="000875E8" w:rsidRDefault="000875E8" w:rsidP="009C0F2B">
          <w:pPr>
            <w:pStyle w:val="Header"/>
            <w:jc w:val="right"/>
            <w:rPr>
              <w:sz w:val="16"/>
            </w:rPr>
          </w:pPr>
          <w:r>
            <w:rPr>
              <w:i/>
              <w:iCs/>
              <w:sz w:val="16"/>
            </w:rPr>
            <w:t>Atovaquone/proguanil  Monograph</w:t>
          </w:r>
        </w:p>
      </w:tc>
    </w:tr>
  </w:tbl>
  <w:p w14:paraId="34DCA58C" w14:textId="77777777" w:rsidR="000875E8" w:rsidRDefault="00087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DE42" w14:textId="216B32FD" w:rsidR="000875E8" w:rsidRDefault="00087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EC58" w14:textId="77777777" w:rsidR="000875E8" w:rsidRDefault="000875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7862" w14:textId="05657CA3" w:rsidR="000875E8" w:rsidRDefault="00087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C29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188A2BE"/>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F6FE1E90"/>
    <w:lvl w:ilvl="0">
      <w:start w:val="1"/>
      <w:numFmt w:val="bullet"/>
      <w:lvlText w:val=""/>
      <w:lvlJc w:val="left"/>
      <w:pPr>
        <w:tabs>
          <w:tab w:val="num" w:pos="360"/>
        </w:tabs>
        <w:ind w:left="360" w:hanging="360"/>
      </w:pPr>
      <w:rPr>
        <w:rFonts w:ascii="Symbol" w:hAnsi="Symbol" w:hint="default"/>
      </w:rPr>
    </w:lvl>
  </w:abstractNum>
  <w:abstractNum w:abstractNumId="3">
    <w:nsid w:val="0685427B"/>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4">
    <w:nsid w:val="08DD2F9D"/>
    <w:multiLevelType w:val="hybridMultilevel"/>
    <w:tmpl w:val="36CEF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4477FB"/>
    <w:multiLevelType w:val="hybridMultilevel"/>
    <w:tmpl w:val="5A2E2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91380"/>
    <w:multiLevelType w:val="hybridMultilevel"/>
    <w:tmpl w:val="D37A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75337"/>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BF9033C"/>
    <w:multiLevelType w:val="hybridMultilevel"/>
    <w:tmpl w:val="D37A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A41BF4"/>
    <w:multiLevelType w:val="hybridMultilevel"/>
    <w:tmpl w:val="14404864"/>
    <w:lvl w:ilvl="0" w:tplc="0409000B">
      <w:start w:val="7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342CE3"/>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11">
    <w:nsid w:val="0FD91B41"/>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12">
    <w:nsid w:val="147D24EE"/>
    <w:multiLevelType w:val="hybridMultilevel"/>
    <w:tmpl w:val="3A1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050618"/>
    <w:multiLevelType w:val="multilevel"/>
    <w:tmpl w:val="D150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4E5B41"/>
    <w:multiLevelType w:val="hybridMultilevel"/>
    <w:tmpl w:val="D37A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4317C"/>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16">
    <w:nsid w:val="29211763"/>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17">
    <w:nsid w:val="297D5D46"/>
    <w:multiLevelType w:val="hybridMultilevel"/>
    <w:tmpl w:val="589263F8"/>
    <w:lvl w:ilvl="0" w:tplc="8294011E">
      <w:start w:val="40"/>
      <w:numFmt w:val="bullet"/>
      <w:lvlText w:val=""/>
      <w:lvlJc w:val="left"/>
      <w:pPr>
        <w:ind w:left="720" w:hanging="360"/>
      </w:pPr>
      <w:rPr>
        <w:rFonts w:ascii="Wingdings" w:eastAsia="Times New Roman" w:hAnsi="Wingdings"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C87C5A"/>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19">
    <w:nsid w:val="2BBC12F4"/>
    <w:multiLevelType w:val="hybridMultilevel"/>
    <w:tmpl w:val="7B7A8288"/>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7757D1"/>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2CB62A3"/>
    <w:multiLevelType w:val="hybridMultilevel"/>
    <w:tmpl w:val="C172CE6E"/>
    <w:lvl w:ilvl="0" w:tplc="421A59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C7781E"/>
    <w:multiLevelType w:val="singleLevel"/>
    <w:tmpl w:val="0264F85E"/>
    <w:lvl w:ilvl="0">
      <w:start w:val="1"/>
      <w:numFmt w:val="bullet"/>
      <w:lvlText w:val=""/>
      <w:lvlJc w:val="left"/>
      <w:pPr>
        <w:tabs>
          <w:tab w:val="num" w:pos="720"/>
        </w:tabs>
        <w:ind w:left="720" w:hanging="360"/>
      </w:pPr>
      <w:rPr>
        <w:rFonts w:ascii="Wingdings" w:hAnsi="Wingdings" w:hint="default"/>
      </w:rPr>
    </w:lvl>
  </w:abstractNum>
  <w:abstractNum w:abstractNumId="23">
    <w:nsid w:val="375C12B2"/>
    <w:multiLevelType w:val="hybridMultilevel"/>
    <w:tmpl w:val="83282A68"/>
    <w:lvl w:ilvl="0" w:tplc="6102083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275938"/>
    <w:multiLevelType w:val="hybridMultilevel"/>
    <w:tmpl w:val="186C55DC"/>
    <w:lvl w:ilvl="0" w:tplc="28F6BE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676D84"/>
    <w:multiLevelType w:val="multilevel"/>
    <w:tmpl w:val="4DF6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BD265C"/>
    <w:multiLevelType w:val="hybridMultilevel"/>
    <w:tmpl w:val="B19AE4F6"/>
    <w:lvl w:ilvl="0" w:tplc="421A59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7B729F"/>
    <w:multiLevelType w:val="hybridMultilevel"/>
    <w:tmpl w:val="6D0CEC92"/>
    <w:lvl w:ilvl="0" w:tplc="29365A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4E08E3"/>
    <w:multiLevelType w:val="hybridMultilevel"/>
    <w:tmpl w:val="5F38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BC1AE8"/>
    <w:multiLevelType w:val="hybridMultilevel"/>
    <w:tmpl w:val="D37A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03C6C32"/>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31">
    <w:nsid w:val="484A78CA"/>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32">
    <w:nsid w:val="4B926EA9"/>
    <w:multiLevelType w:val="hybridMultilevel"/>
    <w:tmpl w:val="53A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A132CD"/>
    <w:multiLevelType w:val="hybridMultilevel"/>
    <w:tmpl w:val="E206A6A8"/>
    <w:lvl w:ilvl="0" w:tplc="0409000B">
      <w:start w:val="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9868A7"/>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35">
    <w:nsid w:val="51ED3636"/>
    <w:multiLevelType w:val="hybridMultilevel"/>
    <w:tmpl w:val="D37A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6B2658"/>
    <w:multiLevelType w:val="singleLevel"/>
    <w:tmpl w:val="0264F85E"/>
    <w:lvl w:ilvl="0">
      <w:start w:val="1"/>
      <w:numFmt w:val="bullet"/>
      <w:lvlText w:val=""/>
      <w:lvlJc w:val="left"/>
      <w:pPr>
        <w:tabs>
          <w:tab w:val="num" w:pos="720"/>
        </w:tabs>
        <w:ind w:left="720" w:hanging="360"/>
      </w:pPr>
      <w:rPr>
        <w:rFonts w:ascii="Wingdings" w:hAnsi="Wingdings" w:hint="default"/>
      </w:rPr>
    </w:lvl>
  </w:abstractNum>
  <w:abstractNum w:abstractNumId="37">
    <w:nsid w:val="56FB22C3"/>
    <w:multiLevelType w:val="singleLevel"/>
    <w:tmpl w:val="0264F85E"/>
    <w:lvl w:ilvl="0">
      <w:start w:val="1"/>
      <w:numFmt w:val="bullet"/>
      <w:lvlText w:val=""/>
      <w:lvlJc w:val="left"/>
      <w:pPr>
        <w:tabs>
          <w:tab w:val="num" w:pos="720"/>
        </w:tabs>
        <w:ind w:left="720" w:hanging="360"/>
      </w:pPr>
      <w:rPr>
        <w:rFonts w:ascii="Wingdings" w:hAnsi="Wingdings" w:hint="default"/>
      </w:rPr>
    </w:lvl>
  </w:abstractNum>
  <w:abstractNum w:abstractNumId="38">
    <w:nsid w:val="59640BAC"/>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39">
    <w:nsid w:val="5AE712E4"/>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40">
    <w:nsid w:val="672253CB"/>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41">
    <w:nsid w:val="68670B87"/>
    <w:multiLevelType w:val="hybridMultilevel"/>
    <w:tmpl w:val="8ED02A5A"/>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B3751D"/>
    <w:multiLevelType w:val="hybridMultilevel"/>
    <w:tmpl w:val="4C3E5F94"/>
    <w:lvl w:ilvl="0" w:tplc="28F6BE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996530"/>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44">
    <w:nsid w:val="6B086652"/>
    <w:multiLevelType w:val="hybridMultilevel"/>
    <w:tmpl w:val="A594CDE8"/>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9B6CD3"/>
    <w:multiLevelType w:val="multilevel"/>
    <w:tmpl w:val="52D2A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460319"/>
    <w:multiLevelType w:val="hybridMultilevel"/>
    <w:tmpl w:val="090A3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6"/>
  </w:num>
  <w:num w:numId="3">
    <w:abstractNumId w:val="40"/>
  </w:num>
  <w:num w:numId="4">
    <w:abstractNumId w:val="37"/>
  </w:num>
  <w:num w:numId="5">
    <w:abstractNumId w:val="31"/>
  </w:num>
  <w:num w:numId="6">
    <w:abstractNumId w:val="22"/>
  </w:num>
  <w:num w:numId="7">
    <w:abstractNumId w:val="39"/>
  </w:num>
  <w:num w:numId="8">
    <w:abstractNumId w:val="15"/>
  </w:num>
  <w:num w:numId="9">
    <w:abstractNumId w:val="10"/>
  </w:num>
  <w:num w:numId="10">
    <w:abstractNumId w:val="34"/>
  </w:num>
  <w:num w:numId="11">
    <w:abstractNumId w:val="18"/>
  </w:num>
  <w:num w:numId="12">
    <w:abstractNumId w:val="43"/>
  </w:num>
  <w:num w:numId="13">
    <w:abstractNumId w:val="30"/>
  </w:num>
  <w:num w:numId="14">
    <w:abstractNumId w:val="3"/>
  </w:num>
  <w:num w:numId="15">
    <w:abstractNumId w:val="16"/>
  </w:num>
  <w:num w:numId="16">
    <w:abstractNumId w:val="20"/>
  </w:num>
  <w:num w:numId="17">
    <w:abstractNumId w:val="7"/>
  </w:num>
  <w:num w:numId="18">
    <w:abstractNumId w:val="38"/>
  </w:num>
  <w:num w:numId="19">
    <w:abstractNumId w:val="23"/>
  </w:num>
  <w:num w:numId="20">
    <w:abstractNumId w:val="2"/>
  </w:num>
  <w:num w:numId="21">
    <w:abstractNumId w:val="1"/>
  </w:num>
  <w:num w:numId="22">
    <w:abstractNumId w:val="26"/>
  </w:num>
  <w:num w:numId="23">
    <w:abstractNumId w:val="21"/>
  </w:num>
  <w:num w:numId="24">
    <w:abstractNumId w:val="44"/>
  </w:num>
  <w:num w:numId="25">
    <w:abstractNumId w:val="32"/>
  </w:num>
  <w:num w:numId="26">
    <w:abstractNumId w:val="9"/>
  </w:num>
  <w:num w:numId="27">
    <w:abstractNumId w:val="17"/>
  </w:num>
  <w:num w:numId="28">
    <w:abstractNumId w:val="19"/>
  </w:num>
  <w:num w:numId="29">
    <w:abstractNumId w:val="41"/>
  </w:num>
  <w:num w:numId="30">
    <w:abstractNumId w:val="33"/>
  </w:num>
  <w:num w:numId="31">
    <w:abstractNumId w:val="45"/>
    <w:lvlOverride w:ilvl="1">
      <w:lvl w:ilvl="1">
        <w:numFmt w:val="bullet"/>
        <w:lvlText w:val=""/>
        <w:lvlJc w:val="left"/>
        <w:pPr>
          <w:tabs>
            <w:tab w:val="num" w:pos="1440"/>
          </w:tabs>
          <w:ind w:left="1440" w:hanging="360"/>
        </w:pPr>
        <w:rPr>
          <w:rFonts w:ascii="Wingdings" w:hAnsi="Wingdings" w:hint="default"/>
          <w:sz w:val="20"/>
        </w:rPr>
      </w:lvl>
    </w:lvlOverride>
  </w:num>
  <w:num w:numId="32">
    <w:abstractNumId w:val="5"/>
  </w:num>
  <w:num w:numId="33">
    <w:abstractNumId w:val="28"/>
  </w:num>
  <w:num w:numId="34">
    <w:abstractNumId w:val="29"/>
  </w:num>
  <w:num w:numId="35">
    <w:abstractNumId w:val="14"/>
  </w:num>
  <w:num w:numId="36">
    <w:abstractNumId w:val="8"/>
  </w:num>
  <w:num w:numId="37">
    <w:abstractNumId w:val="6"/>
  </w:num>
  <w:num w:numId="38">
    <w:abstractNumId w:val="35"/>
  </w:num>
  <w:num w:numId="39">
    <w:abstractNumId w:val="0"/>
  </w:num>
  <w:num w:numId="40">
    <w:abstractNumId w:val="13"/>
  </w:num>
  <w:num w:numId="41">
    <w:abstractNumId w:val="4"/>
  </w:num>
  <w:num w:numId="42">
    <w:abstractNumId w:val="27"/>
  </w:num>
  <w:num w:numId="43">
    <w:abstractNumId w:val="46"/>
  </w:num>
  <w:num w:numId="44">
    <w:abstractNumId w:val="12"/>
  </w:num>
  <w:num w:numId="45">
    <w:abstractNumId w:val="25"/>
  </w:num>
  <w:num w:numId="46">
    <w:abstractNumId w:val="2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Simple1"/>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F7"/>
    <w:rsid w:val="00001661"/>
    <w:rsid w:val="000021E9"/>
    <w:rsid w:val="00002F12"/>
    <w:rsid w:val="00007F56"/>
    <w:rsid w:val="00010CE1"/>
    <w:rsid w:val="000179C7"/>
    <w:rsid w:val="00021B43"/>
    <w:rsid w:val="000270C4"/>
    <w:rsid w:val="00034650"/>
    <w:rsid w:val="000412B4"/>
    <w:rsid w:val="00043743"/>
    <w:rsid w:val="00045382"/>
    <w:rsid w:val="00052095"/>
    <w:rsid w:val="00053729"/>
    <w:rsid w:val="00054692"/>
    <w:rsid w:val="00054CEE"/>
    <w:rsid w:val="00056D4C"/>
    <w:rsid w:val="0005723B"/>
    <w:rsid w:val="00060C70"/>
    <w:rsid w:val="00061831"/>
    <w:rsid w:val="00064D88"/>
    <w:rsid w:val="00065979"/>
    <w:rsid w:val="00074471"/>
    <w:rsid w:val="0007547D"/>
    <w:rsid w:val="000804A2"/>
    <w:rsid w:val="00081AF2"/>
    <w:rsid w:val="00082460"/>
    <w:rsid w:val="00086254"/>
    <w:rsid w:val="0008659D"/>
    <w:rsid w:val="000875E8"/>
    <w:rsid w:val="00097DB9"/>
    <w:rsid w:val="000A562C"/>
    <w:rsid w:val="000B04CE"/>
    <w:rsid w:val="000B0EF4"/>
    <w:rsid w:val="000B4D40"/>
    <w:rsid w:val="000C14CC"/>
    <w:rsid w:val="000C2B09"/>
    <w:rsid w:val="000C4F35"/>
    <w:rsid w:val="000C64EE"/>
    <w:rsid w:val="000C6DD3"/>
    <w:rsid w:val="000D042A"/>
    <w:rsid w:val="000D109B"/>
    <w:rsid w:val="000D12D2"/>
    <w:rsid w:val="000D26F9"/>
    <w:rsid w:val="000D316B"/>
    <w:rsid w:val="000D6B1E"/>
    <w:rsid w:val="000E12C7"/>
    <w:rsid w:val="000E2E9A"/>
    <w:rsid w:val="000E4F93"/>
    <w:rsid w:val="000E67D5"/>
    <w:rsid w:val="000F41F4"/>
    <w:rsid w:val="000F5AFF"/>
    <w:rsid w:val="00100C57"/>
    <w:rsid w:val="00100F00"/>
    <w:rsid w:val="0010658C"/>
    <w:rsid w:val="001105C8"/>
    <w:rsid w:val="00114BBF"/>
    <w:rsid w:val="001152CC"/>
    <w:rsid w:val="00115F93"/>
    <w:rsid w:val="0012723B"/>
    <w:rsid w:val="00133256"/>
    <w:rsid w:val="00135214"/>
    <w:rsid w:val="00140801"/>
    <w:rsid w:val="00144C4E"/>
    <w:rsid w:val="001466A6"/>
    <w:rsid w:val="00150353"/>
    <w:rsid w:val="00153955"/>
    <w:rsid w:val="00165B7D"/>
    <w:rsid w:val="0016643D"/>
    <w:rsid w:val="00170DC9"/>
    <w:rsid w:val="00172C02"/>
    <w:rsid w:val="00172DEC"/>
    <w:rsid w:val="0018463B"/>
    <w:rsid w:val="0018717A"/>
    <w:rsid w:val="001935F0"/>
    <w:rsid w:val="001A3209"/>
    <w:rsid w:val="001A4B58"/>
    <w:rsid w:val="001A6546"/>
    <w:rsid w:val="001A6A17"/>
    <w:rsid w:val="001B02DD"/>
    <w:rsid w:val="001D2D55"/>
    <w:rsid w:val="001D3F67"/>
    <w:rsid w:val="001E22E3"/>
    <w:rsid w:val="001F2135"/>
    <w:rsid w:val="001F4124"/>
    <w:rsid w:val="001F696C"/>
    <w:rsid w:val="0020089E"/>
    <w:rsid w:val="00202155"/>
    <w:rsid w:val="00204AF0"/>
    <w:rsid w:val="0020547E"/>
    <w:rsid w:val="00205764"/>
    <w:rsid w:val="002102B4"/>
    <w:rsid w:val="00217C6C"/>
    <w:rsid w:val="00221A78"/>
    <w:rsid w:val="00221BE3"/>
    <w:rsid w:val="002244CC"/>
    <w:rsid w:val="00225629"/>
    <w:rsid w:val="002326CF"/>
    <w:rsid w:val="002327B8"/>
    <w:rsid w:val="00234CE2"/>
    <w:rsid w:val="002369F8"/>
    <w:rsid w:val="0023703E"/>
    <w:rsid w:val="002429A6"/>
    <w:rsid w:val="002456D0"/>
    <w:rsid w:val="00246BB0"/>
    <w:rsid w:val="00247139"/>
    <w:rsid w:val="0025111B"/>
    <w:rsid w:val="002516F7"/>
    <w:rsid w:val="002520A5"/>
    <w:rsid w:val="00257C0C"/>
    <w:rsid w:val="00257FCA"/>
    <w:rsid w:val="00263128"/>
    <w:rsid w:val="00273392"/>
    <w:rsid w:val="002743A8"/>
    <w:rsid w:val="00275A2B"/>
    <w:rsid w:val="0027751D"/>
    <w:rsid w:val="002818C3"/>
    <w:rsid w:val="00281F29"/>
    <w:rsid w:val="00282219"/>
    <w:rsid w:val="00287B06"/>
    <w:rsid w:val="002939C3"/>
    <w:rsid w:val="002A0C51"/>
    <w:rsid w:val="002A74BA"/>
    <w:rsid w:val="002B1E76"/>
    <w:rsid w:val="002B32E9"/>
    <w:rsid w:val="002B5B1D"/>
    <w:rsid w:val="002B68C2"/>
    <w:rsid w:val="002B7413"/>
    <w:rsid w:val="002B7639"/>
    <w:rsid w:val="002C278D"/>
    <w:rsid w:val="002C3BC0"/>
    <w:rsid w:val="002C3BF8"/>
    <w:rsid w:val="002C3FB4"/>
    <w:rsid w:val="002C4152"/>
    <w:rsid w:val="002C6A69"/>
    <w:rsid w:val="002D071D"/>
    <w:rsid w:val="002D41E3"/>
    <w:rsid w:val="002D622B"/>
    <w:rsid w:val="002E02A5"/>
    <w:rsid w:val="002E141B"/>
    <w:rsid w:val="002E1E7F"/>
    <w:rsid w:val="002E2124"/>
    <w:rsid w:val="002E2C07"/>
    <w:rsid w:val="002E3340"/>
    <w:rsid w:val="002F66FC"/>
    <w:rsid w:val="002F7229"/>
    <w:rsid w:val="00302CF8"/>
    <w:rsid w:val="003041CE"/>
    <w:rsid w:val="00305237"/>
    <w:rsid w:val="003052BB"/>
    <w:rsid w:val="00305946"/>
    <w:rsid w:val="003075DF"/>
    <w:rsid w:val="003129C8"/>
    <w:rsid w:val="003141DC"/>
    <w:rsid w:val="00314277"/>
    <w:rsid w:val="00314BB2"/>
    <w:rsid w:val="00315214"/>
    <w:rsid w:val="0031537D"/>
    <w:rsid w:val="00321718"/>
    <w:rsid w:val="0032326B"/>
    <w:rsid w:val="003239B1"/>
    <w:rsid w:val="00323C47"/>
    <w:rsid w:val="00323DC6"/>
    <w:rsid w:val="003324E6"/>
    <w:rsid w:val="00334ED7"/>
    <w:rsid w:val="0033506B"/>
    <w:rsid w:val="003352AC"/>
    <w:rsid w:val="00341710"/>
    <w:rsid w:val="00341C0D"/>
    <w:rsid w:val="00346034"/>
    <w:rsid w:val="003526B0"/>
    <w:rsid w:val="00356AAA"/>
    <w:rsid w:val="003603A8"/>
    <w:rsid w:val="003621A5"/>
    <w:rsid w:val="0036378D"/>
    <w:rsid w:val="00364E4D"/>
    <w:rsid w:val="00365A1C"/>
    <w:rsid w:val="00365DDB"/>
    <w:rsid w:val="00370CE8"/>
    <w:rsid w:val="00374C8E"/>
    <w:rsid w:val="003761BC"/>
    <w:rsid w:val="0037697B"/>
    <w:rsid w:val="003769C6"/>
    <w:rsid w:val="0038158D"/>
    <w:rsid w:val="003837BB"/>
    <w:rsid w:val="0039048B"/>
    <w:rsid w:val="003A4416"/>
    <w:rsid w:val="003A559A"/>
    <w:rsid w:val="003B011D"/>
    <w:rsid w:val="003C4333"/>
    <w:rsid w:val="003C763F"/>
    <w:rsid w:val="003D09B2"/>
    <w:rsid w:val="003D73B3"/>
    <w:rsid w:val="003E1201"/>
    <w:rsid w:val="003E1598"/>
    <w:rsid w:val="003E2BD9"/>
    <w:rsid w:val="003E42B4"/>
    <w:rsid w:val="003E52A4"/>
    <w:rsid w:val="003F03BD"/>
    <w:rsid w:val="003F7593"/>
    <w:rsid w:val="0040163B"/>
    <w:rsid w:val="00404EE6"/>
    <w:rsid w:val="004069E4"/>
    <w:rsid w:val="00406B04"/>
    <w:rsid w:val="0040754E"/>
    <w:rsid w:val="0040798E"/>
    <w:rsid w:val="004125E0"/>
    <w:rsid w:val="00412790"/>
    <w:rsid w:val="004178A3"/>
    <w:rsid w:val="00417A8C"/>
    <w:rsid w:val="00420C33"/>
    <w:rsid w:val="00420C37"/>
    <w:rsid w:val="00422798"/>
    <w:rsid w:val="004242FB"/>
    <w:rsid w:val="00430BA3"/>
    <w:rsid w:val="00437DA4"/>
    <w:rsid w:val="00441DDF"/>
    <w:rsid w:val="00444E7F"/>
    <w:rsid w:val="0044522D"/>
    <w:rsid w:val="00445F79"/>
    <w:rsid w:val="0045075A"/>
    <w:rsid w:val="00453718"/>
    <w:rsid w:val="00454584"/>
    <w:rsid w:val="00464225"/>
    <w:rsid w:val="00473B0A"/>
    <w:rsid w:val="00474910"/>
    <w:rsid w:val="0048386E"/>
    <w:rsid w:val="0049419B"/>
    <w:rsid w:val="004A590B"/>
    <w:rsid w:val="004B3984"/>
    <w:rsid w:val="004B7F56"/>
    <w:rsid w:val="004C0DAD"/>
    <w:rsid w:val="004C3088"/>
    <w:rsid w:val="004C5AF5"/>
    <w:rsid w:val="004C5BBD"/>
    <w:rsid w:val="004D786F"/>
    <w:rsid w:val="004D7CA2"/>
    <w:rsid w:val="004E2A4C"/>
    <w:rsid w:val="004E2CB7"/>
    <w:rsid w:val="004E44F6"/>
    <w:rsid w:val="004E50BD"/>
    <w:rsid w:val="004E5385"/>
    <w:rsid w:val="004F3CCC"/>
    <w:rsid w:val="004F5136"/>
    <w:rsid w:val="004F7BC9"/>
    <w:rsid w:val="005007E4"/>
    <w:rsid w:val="005026C6"/>
    <w:rsid w:val="00503881"/>
    <w:rsid w:val="00503E08"/>
    <w:rsid w:val="005042BD"/>
    <w:rsid w:val="0050697F"/>
    <w:rsid w:val="00510B55"/>
    <w:rsid w:val="0051238E"/>
    <w:rsid w:val="0051282F"/>
    <w:rsid w:val="00513C6A"/>
    <w:rsid w:val="0052125B"/>
    <w:rsid w:val="005212B2"/>
    <w:rsid w:val="00521CFB"/>
    <w:rsid w:val="00525325"/>
    <w:rsid w:val="00527846"/>
    <w:rsid w:val="00530717"/>
    <w:rsid w:val="00532F87"/>
    <w:rsid w:val="0053336C"/>
    <w:rsid w:val="00536821"/>
    <w:rsid w:val="00537E8D"/>
    <w:rsid w:val="0054169B"/>
    <w:rsid w:val="0054454A"/>
    <w:rsid w:val="00551198"/>
    <w:rsid w:val="00551EDC"/>
    <w:rsid w:val="00552813"/>
    <w:rsid w:val="0055372E"/>
    <w:rsid w:val="00555A10"/>
    <w:rsid w:val="00555D04"/>
    <w:rsid w:val="005640C8"/>
    <w:rsid w:val="00565688"/>
    <w:rsid w:val="0057062F"/>
    <w:rsid w:val="005729BF"/>
    <w:rsid w:val="00575603"/>
    <w:rsid w:val="0057678B"/>
    <w:rsid w:val="00577235"/>
    <w:rsid w:val="0058072C"/>
    <w:rsid w:val="005814E9"/>
    <w:rsid w:val="00581FCA"/>
    <w:rsid w:val="00582521"/>
    <w:rsid w:val="00583C88"/>
    <w:rsid w:val="00584318"/>
    <w:rsid w:val="00584467"/>
    <w:rsid w:val="00586450"/>
    <w:rsid w:val="005866CC"/>
    <w:rsid w:val="00590BEF"/>
    <w:rsid w:val="00593572"/>
    <w:rsid w:val="00594625"/>
    <w:rsid w:val="005953E1"/>
    <w:rsid w:val="00596AA3"/>
    <w:rsid w:val="0059791A"/>
    <w:rsid w:val="00597C51"/>
    <w:rsid w:val="005A2EE2"/>
    <w:rsid w:val="005A506A"/>
    <w:rsid w:val="005A6C9D"/>
    <w:rsid w:val="005A7CB0"/>
    <w:rsid w:val="005B49F5"/>
    <w:rsid w:val="005B60AC"/>
    <w:rsid w:val="005C18FF"/>
    <w:rsid w:val="005C6F2F"/>
    <w:rsid w:val="005C716C"/>
    <w:rsid w:val="005D3396"/>
    <w:rsid w:val="005D3A6C"/>
    <w:rsid w:val="005D56F7"/>
    <w:rsid w:val="005E1BA8"/>
    <w:rsid w:val="005E255F"/>
    <w:rsid w:val="005E3C74"/>
    <w:rsid w:val="005E604E"/>
    <w:rsid w:val="005F1B32"/>
    <w:rsid w:val="005F28F4"/>
    <w:rsid w:val="005F3E3E"/>
    <w:rsid w:val="005F516A"/>
    <w:rsid w:val="00600169"/>
    <w:rsid w:val="006026D5"/>
    <w:rsid w:val="00613351"/>
    <w:rsid w:val="00614542"/>
    <w:rsid w:val="00615A90"/>
    <w:rsid w:val="006307F9"/>
    <w:rsid w:val="006321A0"/>
    <w:rsid w:val="006333FC"/>
    <w:rsid w:val="006408F0"/>
    <w:rsid w:val="006415EB"/>
    <w:rsid w:val="006420AF"/>
    <w:rsid w:val="00646A90"/>
    <w:rsid w:val="00647AAA"/>
    <w:rsid w:val="00647FA2"/>
    <w:rsid w:val="00651852"/>
    <w:rsid w:val="006557E3"/>
    <w:rsid w:val="0065762F"/>
    <w:rsid w:val="00660077"/>
    <w:rsid w:val="006608AD"/>
    <w:rsid w:val="00665E7C"/>
    <w:rsid w:val="00665EC2"/>
    <w:rsid w:val="00666BF9"/>
    <w:rsid w:val="0067059B"/>
    <w:rsid w:val="00672C92"/>
    <w:rsid w:val="0067505C"/>
    <w:rsid w:val="00677671"/>
    <w:rsid w:val="0068597C"/>
    <w:rsid w:val="006861D8"/>
    <w:rsid w:val="00686443"/>
    <w:rsid w:val="006905CB"/>
    <w:rsid w:val="00694781"/>
    <w:rsid w:val="0069487A"/>
    <w:rsid w:val="00695095"/>
    <w:rsid w:val="00696CA2"/>
    <w:rsid w:val="006970D2"/>
    <w:rsid w:val="006A2345"/>
    <w:rsid w:val="006A6579"/>
    <w:rsid w:val="006B0B50"/>
    <w:rsid w:val="006B0C6B"/>
    <w:rsid w:val="006B5283"/>
    <w:rsid w:val="006B780F"/>
    <w:rsid w:val="006C1284"/>
    <w:rsid w:val="006D0304"/>
    <w:rsid w:val="006D0D93"/>
    <w:rsid w:val="006D1B41"/>
    <w:rsid w:val="006D1EC8"/>
    <w:rsid w:val="006D2EA0"/>
    <w:rsid w:val="006D7C4A"/>
    <w:rsid w:val="006E1334"/>
    <w:rsid w:val="006E193B"/>
    <w:rsid w:val="006E2E9C"/>
    <w:rsid w:val="006E3C12"/>
    <w:rsid w:val="006E430A"/>
    <w:rsid w:val="006E5D5B"/>
    <w:rsid w:val="006F0211"/>
    <w:rsid w:val="006F08DE"/>
    <w:rsid w:val="006F175B"/>
    <w:rsid w:val="006F41A9"/>
    <w:rsid w:val="006F6735"/>
    <w:rsid w:val="006F67F4"/>
    <w:rsid w:val="007141DF"/>
    <w:rsid w:val="00716901"/>
    <w:rsid w:val="0071714C"/>
    <w:rsid w:val="007211AC"/>
    <w:rsid w:val="007302B6"/>
    <w:rsid w:val="00730BEE"/>
    <w:rsid w:val="00732540"/>
    <w:rsid w:val="00735EDB"/>
    <w:rsid w:val="00736816"/>
    <w:rsid w:val="00746232"/>
    <w:rsid w:val="00750445"/>
    <w:rsid w:val="007505B9"/>
    <w:rsid w:val="00753292"/>
    <w:rsid w:val="00754F3D"/>
    <w:rsid w:val="00756963"/>
    <w:rsid w:val="00756F38"/>
    <w:rsid w:val="0076040C"/>
    <w:rsid w:val="00760C15"/>
    <w:rsid w:val="00764515"/>
    <w:rsid w:val="00765A10"/>
    <w:rsid w:val="00771BD6"/>
    <w:rsid w:val="007724F1"/>
    <w:rsid w:val="00774558"/>
    <w:rsid w:val="00780FD3"/>
    <w:rsid w:val="00781BF7"/>
    <w:rsid w:val="0078437A"/>
    <w:rsid w:val="007866AF"/>
    <w:rsid w:val="00790750"/>
    <w:rsid w:val="00792FC8"/>
    <w:rsid w:val="0079503B"/>
    <w:rsid w:val="00796DEC"/>
    <w:rsid w:val="007A2A19"/>
    <w:rsid w:val="007A2E73"/>
    <w:rsid w:val="007A3191"/>
    <w:rsid w:val="007A46F0"/>
    <w:rsid w:val="007B26BC"/>
    <w:rsid w:val="007B30C3"/>
    <w:rsid w:val="007C0101"/>
    <w:rsid w:val="007C5252"/>
    <w:rsid w:val="007C61BE"/>
    <w:rsid w:val="007C7D5B"/>
    <w:rsid w:val="007D447A"/>
    <w:rsid w:val="007D7473"/>
    <w:rsid w:val="007D77BC"/>
    <w:rsid w:val="008041A2"/>
    <w:rsid w:val="00810149"/>
    <w:rsid w:val="008125A9"/>
    <w:rsid w:val="00815DF5"/>
    <w:rsid w:val="008160D8"/>
    <w:rsid w:val="00821DB6"/>
    <w:rsid w:val="0082402F"/>
    <w:rsid w:val="00826261"/>
    <w:rsid w:val="00832A51"/>
    <w:rsid w:val="00840D7A"/>
    <w:rsid w:val="00841D72"/>
    <w:rsid w:val="00856DCD"/>
    <w:rsid w:val="00860F8F"/>
    <w:rsid w:val="0086443E"/>
    <w:rsid w:val="008645D1"/>
    <w:rsid w:val="00866A76"/>
    <w:rsid w:val="00867753"/>
    <w:rsid w:val="00867CAB"/>
    <w:rsid w:val="00870929"/>
    <w:rsid w:val="00871813"/>
    <w:rsid w:val="00871918"/>
    <w:rsid w:val="00875690"/>
    <w:rsid w:val="00876500"/>
    <w:rsid w:val="008773DA"/>
    <w:rsid w:val="00877C50"/>
    <w:rsid w:val="0088099A"/>
    <w:rsid w:val="00880A87"/>
    <w:rsid w:val="00882FE4"/>
    <w:rsid w:val="008847FE"/>
    <w:rsid w:val="00884929"/>
    <w:rsid w:val="00886B75"/>
    <w:rsid w:val="008902C8"/>
    <w:rsid w:val="00897924"/>
    <w:rsid w:val="008A2983"/>
    <w:rsid w:val="008A5B73"/>
    <w:rsid w:val="008B1665"/>
    <w:rsid w:val="008B27E5"/>
    <w:rsid w:val="008B29FF"/>
    <w:rsid w:val="008B4216"/>
    <w:rsid w:val="008C53A5"/>
    <w:rsid w:val="008D0C70"/>
    <w:rsid w:val="008D3D2B"/>
    <w:rsid w:val="008D41A6"/>
    <w:rsid w:val="008D6C26"/>
    <w:rsid w:val="008E08EF"/>
    <w:rsid w:val="008E26F9"/>
    <w:rsid w:val="008F5FD7"/>
    <w:rsid w:val="008F7E9F"/>
    <w:rsid w:val="00901379"/>
    <w:rsid w:val="009020A1"/>
    <w:rsid w:val="00906AFD"/>
    <w:rsid w:val="0091054B"/>
    <w:rsid w:val="00914C00"/>
    <w:rsid w:val="00915228"/>
    <w:rsid w:val="009166C6"/>
    <w:rsid w:val="00920410"/>
    <w:rsid w:val="00921516"/>
    <w:rsid w:val="00923613"/>
    <w:rsid w:val="00923FA1"/>
    <w:rsid w:val="009253F4"/>
    <w:rsid w:val="009278F4"/>
    <w:rsid w:val="00931AA9"/>
    <w:rsid w:val="00932B9C"/>
    <w:rsid w:val="00934298"/>
    <w:rsid w:val="00934569"/>
    <w:rsid w:val="009373E2"/>
    <w:rsid w:val="00937B26"/>
    <w:rsid w:val="009407EF"/>
    <w:rsid w:val="00942FB1"/>
    <w:rsid w:val="00945A3C"/>
    <w:rsid w:val="00946588"/>
    <w:rsid w:val="00952F4F"/>
    <w:rsid w:val="0095340F"/>
    <w:rsid w:val="009543E6"/>
    <w:rsid w:val="00954E67"/>
    <w:rsid w:val="00956A13"/>
    <w:rsid w:val="00963CDA"/>
    <w:rsid w:val="0096563A"/>
    <w:rsid w:val="009740CF"/>
    <w:rsid w:val="009771A6"/>
    <w:rsid w:val="00977336"/>
    <w:rsid w:val="00981830"/>
    <w:rsid w:val="009819CD"/>
    <w:rsid w:val="009842C8"/>
    <w:rsid w:val="009866D9"/>
    <w:rsid w:val="0098758E"/>
    <w:rsid w:val="00996AB7"/>
    <w:rsid w:val="00997A6F"/>
    <w:rsid w:val="009A01C1"/>
    <w:rsid w:val="009A7741"/>
    <w:rsid w:val="009B2044"/>
    <w:rsid w:val="009B47AD"/>
    <w:rsid w:val="009B6ADA"/>
    <w:rsid w:val="009C0F2B"/>
    <w:rsid w:val="009C181B"/>
    <w:rsid w:val="009C323F"/>
    <w:rsid w:val="009C5159"/>
    <w:rsid w:val="009C7FD7"/>
    <w:rsid w:val="009D0E95"/>
    <w:rsid w:val="009D29C2"/>
    <w:rsid w:val="009D2BF0"/>
    <w:rsid w:val="009E0B86"/>
    <w:rsid w:val="009E18A2"/>
    <w:rsid w:val="009E45EC"/>
    <w:rsid w:val="009E47F9"/>
    <w:rsid w:val="009E4E80"/>
    <w:rsid w:val="009E71FE"/>
    <w:rsid w:val="009E7C3F"/>
    <w:rsid w:val="009E7E91"/>
    <w:rsid w:val="009F57B8"/>
    <w:rsid w:val="009F6C16"/>
    <w:rsid w:val="00A01EA8"/>
    <w:rsid w:val="00A02261"/>
    <w:rsid w:val="00A03176"/>
    <w:rsid w:val="00A04326"/>
    <w:rsid w:val="00A0684B"/>
    <w:rsid w:val="00A07D98"/>
    <w:rsid w:val="00A1120C"/>
    <w:rsid w:val="00A203EB"/>
    <w:rsid w:val="00A22C26"/>
    <w:rsid w:val="00A24858"/>
    <w:rsid w:val="00A25F63"/>
    <w:rsid w:val="00A267AB"/>
    <w:rsid w:val="00A30235"/>
    <w:rsid w:val="00A30AA5"/>
    <w:rsid w:val="00A327B6"/>
    <w:rsid w:val="00A3410B"/>
    <w:rsid w:val="00A35908"/>
    <w:rsid w:val="00A36B11"/>
    <w:rsid w:val="00A41700"/>
    <w:rsid w:val="00A44606"/>
    <w:rsid w:val="00A450A8"/>
    <w:rsid w:val="00A540C4"/>
    <w:rsid w:val="00A54168"/>
    <w:rsid w:val="00A60B9C"/>
    <w:rsid w:val="00A63071"/>
    <w:rsid w:val="00A678BF"/>
    <w:rsid w:val="00A71BD6"/>
    <w:rsid w:val="00A76569"/>
    <w:rsid w:val="00A812EE"/>
    <w:rsid w:val="00A81D7C"/>
    <w:rsid w:val="00A81FF3"/>
    <w:rsid w:val="00A83453"/>
    <w:rsid w:val="00A904A8"/>
    <w:rsid w:val="00A96B16"/>
    <w:rsid w:val="00A97819"/>
    <w:rsid w:val="00AA0716"/>
    <w:rsid w:val="00AA4000"/>
    <w:rsid w:val="00AA69D7"/>
    <w:rsid w:val="00AB01DA"/>
    <w:rsid w:val="00AB0DD8"/>
    <w:rsid w:val="00AB4C48"/>
    <w:rsid w:val="00AB599B"/>
    <w:rsid w:val="00AC073C"/>
    <w:rsid w:val="00AC6167"/>
    <w:rsid w:val="00AC74D6"/>
    <w:rsid w:val="00AE0D8C"/>
    <w:rsid w:val="00AE20BD"/>
    <w:rsid w:val="00AE2212"/>
    <w:rsid w:val="00AE2AB9"/>
    <w:rsid w:val="00AE530A"/>
    <w:rsid w:val="00AF3B54"/>
    <w:rsid w:val="00AF6687"/>
    <w:rsid w:val="00B01C2D"/>
    <w:rsid w:val="00B04D51"/>
    <w:rsid w:val="00B06205"/>
    <w:rsid w:val="00B07B6D"/>
    <w:rsid w:val="00B07FC2"/>
    <w:rsid w:val="00B13ACF"/>
    <w:rsid w:val="00B15AA4"/>
    <w:rsid w:val="00B22F0C"/>
    <w:rsid w:val="00B25991"/>
    <w:rsid w:val="00B25A10"/>
    <w:rsid w:val="00B25C78"/>
    <w:rsid w:val="00B304B7"/>
    <w:rsid w:val="00B435BE"/>
    <w:rsid w:val="00B47F2E"/>
    <w:rsid w:val="00B50C2F"/>
    <w:rsid w:val="00B54BCE"/>
    <w:rsid w:val="00B55585"/>
    <w:rsid w:val="00B56CFB"/>
    <w:rsid w:val="00B635F4"/>
    <w:rsid w:val="00B72048"/>
    <w:rsid w:val="00B73CD6"/>
    <w:rsid w:val="00B8038B"/>
    <w:rsid w:val="00B8511F"/>
    <w:rsid w:val="00B910C2"/>
    <w:rsid w:val="00B932BB"/>
    <w:rsid w:val="00B946D4"/>
    <w:rsid w:val="00B968AE"/>
    <w:rsid w:val="00BA4CAE"/>
    <w:rsid w:val="00BA550F"/>
    <w:rsid w:val="00BA6527"/>
    <w:rsid w:val="00BA6567"/>
    <w:rsid w:val="00BA68CA"/>
    <w:rsid w:val="00BA7BBE"/>
    <w:rsid w:val="00BB6342"/>
    <w:rsid w:val="00BB7B28"/>
    <w:rsid w:val="00BC4353"/>
    <w:rsid w:val="00BC5C28"/>
    <w:rsid w:val="00BC79A9"/>
    <w:rsid w:val="00BD1527"/>
    <w:rsid w:val="00BD2083"/>
    <w:rsid w:val="00BD3C94"/>
    <w:rsid w:val="00BD4F14"/>
    <w:rsid w:val="00BD57CA"/>
    <w:rsid w:val="00BD7768"/>
    <w:rsid w:val="00BE18C3"/>
    <w:rsid w:val="00BE1E6B"/>
    <w:rsid w:val="00BE26A6"/>
    <w:rsid w:val="00BF16AD"/>
    <w:rsid w:val="00BF2934"/>
    <w:rsid w:val="00BF3C9B"/>
    <w:rsid w:val="00BF5009"/>
    <w:rsid w:val="00BF7670"/>
    <w:rsid w:val="00BF7A46"/>
    <w:rsid w:val="00C009F0"/>
    <w:rsid w:val="00C0294D"/>
    <w:rsid w:val="00C056C5"/>
    <w:rsid w:val="00C0714E"/>
    <w:rsid w:val="00C079F1"/>
    <w:rsid w:val="00C16A31"/>
    <w:rsid w:val="00C20B6A"/>
    <w:rsid w:val="00C2561E"/>
    <w:rsid w:val="00C320BF"/>
    <w:rsid w:val="00C37839"/>
    <w:rsid w:val="00C40010"/>
    <w:rsid w:val="00C404C3"/>
    <w:rsid w:val="00C421C2"/>
    <w:rsid w:val="00C45852"/>
    <w:rsid w:val="00C47291"/>
    <w:rsid w:val="00C500AE"/>
    <w:rsid w:val="00C50269"/>
    <w:rsid w:val="00C51EC6"/>
    <w:rsid w:val="00C52E9D"/>
    <w:rsid w:val="00C61FEA"/>
    <w:rsid w:val="00C8100C"/>
    <w:rsid w:val="00C908F9"/>
    <w:rsid w:val="00C9327F"/>
    <w:rsid w:val="00CA0D7E"/>
    <w:rsid w:val="00CA14FE"/>
    <w:rsid w:val="00CA2432"/>
    <w:rsid w:val="00CA307A"/>
    <w:rsid w:val="00CA4794"/>
    <w:rsid w:val="00CA7DA6"/>
    <w:rsid w:val="00CB030E"/>
    <w:rsid w:val="00CB172A"/>
    <w:rsid w:val="00CB1B2C"/>
    <w:rsid w:val="00CB4685"/>
    <w:rsid w:val="00CC0F81"/>
    <w:rsid w:val="00CC1DDA"/>
    <w:rsid w:val="00CC2C60"/>
    <w:rsid w:val="00CC51C4"/>
    <w:rsid w:val="00CC5AA8"/>
    <w:rsid w:val="00CD34FA"/>
    <w:rsid w:val="00CD3B3C"/>
    <w:rsid w:val="00CD44F2"/>
    <w:rsid w:val="00CE208B"/>
    <w:rsid w:val="00CE2BB4"/>
    <w:rsid w:val="00CE4170"/>
    <w:rsid w:val="00CE4350"/>
    <w:rsid w:val="00CE7622"/>
    <w:rsid w:val="00CE7765"/>
    <w:rsid w:val="00CF125A"/>
    <w:rsid w:val="00CF4731"/>
    <w:rsid w:val="00D0258D"/>
    <w:rsid w:val="00D04181"/>
    <w:rsid w:val="00D05F73"/>
    <w:rsid w:val="00D06951"/>
    <w:rsid w:val="00D07F73"/>
    <w:rsid w:val="00D11F74"/>
    <w:rsid w:val="00D12066"/>
    <w:rsid w:val="00D162F1"/>
    <w:rsid w:val="00D2016E"/>
    <w:rsid w:val="00D23B7D"/>
    <w:rsid w:val="00D24115"/>
    <w:rsid w:val="00D24BD0"/>
    <w:rsid w:val="00D31427"/>
    <w:rsid w:val="00D31B16"/>
    <w:rsid w:val="00D32DB0"/>
    <w:rsid w:val="00D34068"/>
    <w:rsid w:val="00D34222"/>
    <w:rsid w:val="00D40FB0"/>
    <w:rsid w:val="00D430DF"/>
    <w:rsid w:val="00D436FA"/>
    <w:rsid w:val="00D46279"/>
    <w:rsid w:val="00D47A31"/>
    <w:rsid w:val="00D5049E"/>
    <w:rsid w:val="00D50D74"/>
    <w:rsid w:val="00D5361B"/>
    <w:rsid w:val="00D53B0E"/>
    <w:rsid w:val="00D61155"/>
    <w:rsid w:val="00D61703"/>
    <w:rsid w:val="00D622B2"/>
    <w:rsid w:val="00D62F30"/>
    <w:rsid w:val="00D655EA"/>
    <w:rsid w:val="00D657A0"/>
    <w:rsid w:val="00D678D3"/>
    <w:rsid w:val="00D70662"/>
    <w:rsid w:val="00D71782"/>
    <w:rsid w:val="00D71CD3"/>
    <w:rsid w:val="00D80674"/>
    <w:rsid w:val="00D81ED0"/>
    <w:rsid w:val="00D839CD"/>
    <w:rsid w:val="00D850ED"/>
    <w:rsid w:val="00D857E9"/>
    <w:rsid w:val="00D86BE8"/>
    <w:rsid w:val="00D91F04"/>
    <w:rsid w:val="00D94B4D"/>
    <w:rsid w:val="00DA381E"/>
    <w:rsid w:val="00DA3BBA"/>
    <w:rsid w:val="00DA6B2E"/>
    <w:rsid w:val="00DB4AFD"/>
    <w:rsid w:val="00DB619B"/>
    <w:rsid w:val="00DB6A14"/>
    <w:rsid w:val="00DD10D4"/>
    <w:rsid w:val="00DD19E6"/>
    <w:rsid w:val="00DD5B26"/>
    <w:rsid w:val="00DD64C0"/>
    <w:rsid w:val="00DD6780"/>
    <w:rsid w:val="00DF2029"/>
    <w:rsid w:val="00DF71BE"/>
    <w:rsid w:val="00DF7C1D"/>
    <w:rsid w:val="00E0251B"/>
    <w:rsid w:val="00E03944"/>
    <w:rsid w:val="00E04780"/>
    <w:rsid w:val="00E04A87"/>
    <w:rsid w:val="00E06C8F"/>
    <w:rsid w:val="00E11794"/>
    <w:rsid w:val="00E23B8D"/>
    <w:rsid w:val="00E25C3D"/>
    <w:rsid w:val="00E30756"/>
    <w:rsid w:val="00E3216B"/>
    <w:rsid w:val="00E40D6B"/>
    <w:rsid w:val="00E41E77"/>
    <w:rsid w:val="00E503D0"/>
    <w:rsid w:val="00E50416"/>
    <w:rsid w:val="00E515FC"/>
    <w:rsid w:val="00E52589"/>
    <w:rsid w:val="00E553E8"/>
    <w:rsid w:val="00E568D1"/>
    <w:rsid w:val="00E570DF"/>
    <w:rsid w:val="00E64F08"/>
    <w:rsid w:val="00E70433"/>
    <w:rsid w:val="00E711D2"/>
    <w:rsid w:val="00E7153A"/>
    <w:rsid w:val="00E7583C"/>
    <w:rsid w:val="00E84DCA"/>
    <w:rsid w:val="00E86269"/>
    <w:rsid w:val="00E87375"/>
    <w:rsid w:val="00E875D6"/>
    <w:rsid w:val="00E91CBA"/>
    <w:rsid w:val="00E922FF"/>
    <w:rsid w:val="00E9403D"/>
    <w:rsid w:val="00E94414"/>
    <w:rsid w:val="00E95D62"/>
    <w:rsid w:val="00EA1BBA"/>
    <w:rsid w:val="00EA356A"/>
    <w:rsid w:val="00EA394B"/>
    <w:rsid w:val="00EC0920"/>
    <w:rsid w:val="00EC183E"/>
    <w:rsid w:val="00EC20C5"/>
    <w:rsid w:val="00EC2EEB"/>
    <w:rsid w:val="00EC5506"/>
    <w:rsid w:val="00EC6ACD"/>
    <w:rsid w:val="00EC702C"/>
    <w:rsid w:val="00ED1EB4"/>
    <w:rsid w:val="00ED382F"/>
    <w:rsid w:val="00ED3C45"/>
    <w:rsid w:val="00ED411B"/>
    <w:rsid w:val="00ED4259"/>
    <w:rsid w:val="00ED64F2"/>
    <w:rsid w:val="00EE5CB1"/>
    <w:rsid w:val="00EE6F57"/>
    <w:rsid w:val="00EE7DD9"/>
    <w:rsid w:val="00EF04B4"/>
    <w:rsid w:val="00EF2A84"/>
    <w:rsid w:val="00F054C6"/>
    <w:rsid w:val="00F05DE0"/>
    <w:rsid w:val="00F073E2"/>
    <w:rsid w:val="00F07B61"/>
    <w:rsid w:val="00F13DF8"/>
    <w:rsid w:val="00F202F3"/>
    <w:rsid w:val="00F210F8"/>
    <w:rsid w:val="00F2135A"/>
    <w:rsid w:val="00F21A93"/>
    <w:rsid w:val="00F220E7"/>
    <w:rsid w:val="00F2493E"/>
    <w:rsid w:val="00F3542B"/>
    <w:rsid w:val="00F4006C"/>
    <w:rsid w:val="00F41221"/>
    <w:rsid w:val="00F4177B"/>
    <w:rsid w:val="00F444C9"/>
    <w:rsid w:val="00F45EBE"/>
    <w:rsid w:val="00F52F6E"/>
    <w:rsid w:val="00F52F90"/>
    <w:rsid w:val="00F530ED"/>
    <w:rsid w:val="00F57746"/>
    <w:rsid w:val="00F60612"/>
    <w:rsid w:val="00F62352"/>
    <w:rsid w:val="00F6438A"/>
    <w:rsid w:val="00F65446"/>
    <w:rsid w:val="00F6692D"/>
    <w:rsid w:val="00F82DCA"/>
    <w:rsid w:val="00F8475E"/>
    <w:rsid w:val="00F876F2"/>
    <w:rsid w:val="00FA0674"/>
    <w:rsid w:val="00FA083B"/>
    <w:rsid w:val="00FB14EB"/>
    <w:rsid w:val="00FB187E"/>
    <w:rsid w:val="00FB29DA"/>
    <w:rsid w:val="00FB56DF"/>
    <w:rsid w:val="00FB7EC6"/>
    <w:rsid w:val="00FC0DF9"/>
    <w:rsid w:val="00FC168B"/>
    <w:rsid w:val="00FC2386"/>
    <w:rsid w:val="00FD1612"/>
    <w:rsid w:val="00FD22F7"/>
    <w:rsid w:val="00FD4407"/>
    <w:rsid w:val="00FD5F0C"/>
    <w:rsid w:val="00FD7643"/>
    <w:rsid w:val="00FD7F00"/>
    <w:rsid w:val="00FE1E9A"/>
    <w:rsid w:val="00FE4F02"/>
    <w:rsid w:val="00FE603B"/>
    <w:rsid w:val="00FF0CC9"/>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53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8D3"/>
    <w:rPr>
      <w:sz w:val="22"/>
    </w:rPr>
  </w:style>
  <w:style w:type="paragraph" w:styleId="Heading1">
    <w:name w:val="heading 1"/>
    <w:basedOn w:val="Normal"/>
    <w:next w:val="Normal"/>
    <w:qFormat/>
    <w:rsid w:val="00510B55"/>
    <w:pPr>
      <w:keepNext/>
      <w:spacing w:before="120" w:after="120"/>
      <w:outlineLvl w:val="0"/>
    </w:pPr>
    <w:rPr>
      <w:rFonts w:ascii="Arial" w:hAnsi="Arial"/>
      <w:b/>
      <w:u w:val="single"/>
    </w:rPr>
  </w:style>
  <w:style w:type="paragraph" w:styleId="Heading2">
    <w:name w:val="heading 2"/>
    <w:basedOn w:val="Normal"/>
    <w:next w:val="Normal"/>
    <w:qFormat/>
    <w:pPr>
      <w:keepNext/>
      <w:spacing w:before="120"/>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color w:val="000000"/>
    </w:rPr>
  </w:style>
  <w:style w:type="paragraph" w:styleId="Heading7">
    <w:name w:val="heading 7"/>
    <w:basedOn w:val="Normal"/>
    <w:next w:val="Table"/>
    <w:qFormat/>
    <w:pPr>
      <w:keepNext/>
      <w:spacing w:before="60"/>
      <w:outlineLvl w:val="6"/>
    </w:pPr>
    <w:rPr>
      <w:rFonts w:ascii="Arial" w:hAnsi="Arial"/>
      <w:b/>
      <w:sz w:val="18"/>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000000"/>
    </w:rPr>
  </w:style>
  <w:style w:type="paragraph" w:styleId="Subtitle">
    <w:name w:val="Subtitle"/>
    <w:basedOn w:val="Normal"/>
    <w:qFormat/>
    <w:pPr>
      <w:jc w:val="center"/>
    </w:pPr>
    <w:rPr>
      <w:rFonts w:ascii="Arial" w:hAnsi="Arial"/>
      <w:b/>
      <w:color w:val="000000"/>
    </w:rPr>
  </w:style>
  <w:style w:type="paragraph" w:styleId="BodyText">
    <w:name w:val="Body Text"/>
    <w:basedOn w:val="Normal"/>
    <w:rPr>
      <w:rFonts w:ascii="Arial" w:hAnsi="Arial"/>
      <w:sz w:val="20"/>
    </w:rPr>
  </w:style>
  <w:style w:type="paragraph" w:styleId="FootnoteText">
    <w:name w:val="footnote text"/>
    <w:basedOn w:val="Normal"/>
    <w:semiHidden/>
    <w:rPr>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Table">
    <w:name w:val="Table"/>
    <w:basedOn w:val="BodyText"/>
    <w:rsid w:val="009771A6"/>
    <w:rPr>
      <w:color w:val="000000"/>
      <w:sz w:val="18"/>
    </w:rPr>
  </w:style>
  <w:style w:type="paragraph" w:styleId="ListBullet2">
    <w:name w:val="List Bullet 2"/>
    <w:basedOn w:val="Normal"/>
    <w:autoRedefine/>
    <w:rsid w:val="00877C50"/>
  </w:style>
  <w:style w:type="paragraph" w:styleId="Footer">
    <w:name w:val="footer"/>
    <w:basedOn w:val="Normal"/>
    <w:pPr>
      <w:tabs>
        <w:tab w:val="center" w:pos="4320"/>
        <w:tab w:val="right" w:pos="8640"/>
      </w:tabs>
    </w:pPr>
    <w:rPr>
      <w:rFonts w:ascii="Arial" w:hAnsi="Arial"/>
      <w:sz w:val="16"/>
    </w:rPr>
  </w:style>
  <w:style w:type="character" w:styleId="PageNumber">
    <w:name w:val="page number"/>
    <w:basedOn w:val="DefaultParagraphFont"/>
  </w:style>
  <w:style w:type="paragraph" w:styleId="BalloonText">
    <w:name w:val="Balloon Text"/>
    <w:basedOn w:val="Normal"/>
    <w:semiHidden/>
    <w:rsid w:val="002516F7"/>
    <w:rPr>
      <w:rFonts w:ascii="Tahoma" w:hAnsi="Tahoma" w:cs="Tahoma"/>
      <w:sz w:val="16"/>
      <w:szCs w:val="16"/>
    </w:rPr>
  </w:style>
  <w:style w:type="paragraph" w:customStyle="1" w:styleId="TableFootnote">
    <w:name w:val="TableFootnote"/>
    <w:basedOn w:val="Table"/>
  </w:style>
  <w:style w:type="paragraph" w:styleId="Caption">
    <w:name w:val="caption"/>
    <w:basedOn w:val="Normal"/>
    <w:next w:val="Normal"/>
    <w:qFormat/>
    <w:pPr>
      <w:keepNext/>
      <w:spacing w:before="120"/>
    </w:pPr>
    <w:rPr>
      <w:rFonts w:ascii="Arial" w:hAnsi="Arial"/>
      <w:b/>
      <w:bCs/>
      <w:sz w:val="18"/>
    </w:rPr>
  </w:style>
  <w:style w:type="paragraph" w:customStyle="1" w:styleId="StyleHeading1Black">
    <w:name w:val="Style Heading 1 + Black"/>
    <w:basedOn w:val="Heading1"/>
    <w:rsid w:val="008160D8"/>
    <w:rPr>
      <w:bCs/>
      <w:color w:val="000000"/>
    </w:rPr>
  </w:style>
  <w:style w:type="character" w:styleId="FollowedHyperlink">
    <w:name w:val="FollowedHyperlink"/>
    <w:rsid w:val="009E4E80"/>
    <w:rPr>
      <w:color w:val="800080"/>
      <w:u w:val="single"/>
    </w:rPr>
  </w:style>
  <w:style w:type="paragraph" w:styleId="NormalWeb">
    <w:name w:val="Normal (Web)"/>
    <w:basedOn w:val="Normal"/>
    <w:uiPriority w:val="99"/>
    <w:rsid w:val="00937B26"/>
    <w:pPr>
      <w:spacing w:before="100" w:beforeAutospacing="1" w:after="100" w:afterAutospacing="1"/>
    </w:pPr>
    <w:rPr>
      <w:color w:val="000080"/>
      <w:sz w:val="24"/>
      <w:szCs w:val="24"/>
    </w:rPr>
  </w:style>
  <w:style w:type="paragraph" w:styleId="EndnoteText">
    <w:name w:val="endnote text"/>
    <w:basedOn w:val="Normal"/>
    <w:link w:val="EndnoteTextChar"/>
    <w:rsid w:val="00A97819"/>
    <w:rPr>
      <w:sz w:val="20"/>
    </w:rPr>
  </w:style>
  <w:style w:type="character" w:customStyle="1" w:styleId="EndnoteTextChar">
    <w:name w:val="Endnote Text Char"/>
    <w:basedOn w:val="DefaultParagraphFont"/>
    <w:link w:val="EndnoteText"/>
    <w:rsid w:val="00A97819"/>
  </w:style>
  <w:style w:type="character" w:styleId="EndnoteReference">
    <w:name w:val="endnote reference"/>
    <w:rsid w:val="00A97819"/>
    <w:rPr>
      <w:vertAlign w:val="superscript"/>
    </w:rPr>
  </w:style>
  <w:style w:type="table" w:styleId="TableColumns4">
    <w:name w:val="Table Columns 4"/>
    <w:basedOn w:val="TableNormal"/>
    <w:rsid w:val="009771A6"/>
    <w:rPr>
      <w:rFonts w:ascii="Arial" w:hAnsi="Arial"/>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1">
    <w:name w:val="Table Simple 1"/>
    <w:basedOn w:val="TableNormal"/>
    <w:rsid w:val="00EC2EEB"/>
    <w:rPr>
      <w:rFonts w:ascii="Arial" w:hAnsi="Arial"/>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Symbol" w:hAnsi="Symbol"/>
        <w:sz w:val="18"/>
      </w:rPr>
      <w:tblPr/>
      <w:tcPr>
        <w:tcBorders>
          <w:bottom w:val="single" w:sz="6" w:space="0" w:color="000000"/>
        </w:tcBorders>
        <w:shd w:val="clear" w:color="auto" w:fill="auto"/>
      </w:tcPr>
    </w:tblStylePr>
    <w:tblStylePr w:type="lastRow">
      <w:rPr>
        <w:rFonts w:ascii="Symbol" w:hAnsi="Symbol"/>
        <w:sz w:val="18"/>
      </w:rPr>
      <w:tblPr/>
      <w:tcPr>
        <w:tcBorders>
          <w:top w:val="nil"/>
        </w:tcBorders>
        <w:shd w:val="clear" w:color="auto" w:fill="auto"/>
      </w:tcPr>
    </w:tblStylePr>
  </w:style>
  <w:style w:type="table" w:styleId="TableGrid">
    <w:name w:val="Table Grid"/>
    <w:basedOn w:val="TableNormal"/>
    <w:rsid w:val="00746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ncbitoggler-master-text">
    <w:name w:val="ui-ncbitoggler-master-text"/>
    <w:rsid w:val="000B04CE"/>
  </w:style>
  <w:style w:type="character" w:customStyle="1" w:styleId="hitsyn1">
    <w:name w:val="hit_syn1"/>
    <w:rsid w:val="002326CF"/>
    <w:rPr>
      <w:b/>
      <w:bCs/>
      <w:shd w:val="clear" w:color="auto" w:fill="FFFFDD"/>
    </w:rPr>
  </w:style>
  <w:style w:type="table" w:styleId="TableElegant">
    <w:name w:val="Table Elegant"/>
    <w:basedOn w:val="TableNormal"/>
    <w:rsid w:val="007A2A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D24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61BE"/>
    <w:pPr>
      <w:ind w:left="720"/>
    </w:pPr>
  </w:style>
  <w:style w:type="table" w:styleId="TableClassic1">
    <w:name w:val="Table Classic 1"/>
    <w:basedOn w:val="TableNormal"/>
    <w:rsid w:val="0051238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7678B"/>
    <w:rPr>
      <w:sz w:val="16"/>
      <w:szCs w:val="16"/>
    </w:rPr>
  </w:style>
  <w:style w:type="paragraph" w:styleId="CommentText">
    <w:name w:val="annotation text"/>
    <w:basedOn w:val="Normal"/>
    <w:link w:val="CommentTextChar"/>
    <w:rsid w:val="0057678B"/>
    <w:rPr>
      <w:sz w:val="20"/>
    </w:rPr>
  </w:style>
  <w:style w:type="character" w:customStyle="1" w:styleId="CommentTextChar">
    <w:name w:val="Comment Text Char"/>
    <w:basedOn w:val="DefaultParagraphFont"/>
    <w:link w:val="CommentText"/>
    <w:rsid w:val="0057678B"/>
  </w:style>
  <w:style w:type="paragraph" w:styleId="CommentSubject">
    <w:name w:val="annotation subject"/>
    <w:basedOn w:val="CommentText"/>
    <w:next w:val="CommentText"/>
    <w:link w:val="CommentSubjectChar"/>
    <w:rsid w:val="0057678B"/>
    <w:rPr>
      <w:b/>
      <w:bCs/>
    </w:rPr>
  </w:style>
  <w:style w:type="character" w:customStyle="1" w:styleId="CommentSubjectChar">
    <w:name w:val="Comment Subject Char"/>
    <w:basedOn w:val="CommentTextChar"/>
    <w:link w:val="CommentSubject"/>
    <w:rsid w:val="0057678B"/>
    <w:rPr>
      <w:b/>
      <w:bCs/>
    </w:rPr>
  </w:style>
  <w:style w:type="paragraph" w:styleId="Revision">
    <w:name w:val="Revision"/>
    <w:hidden/>
    <w:uiPriority w:val="71"/>
    <w:rsid w:val="000E12C7"/>
    <w:rPr>
      <w:sz w:val="22"/>
    </w:rPr>
  </w:style>
  <w:style w:type="character" w:styleId="HTMLCite">
    <w:name w:val="HTML Cite"/>
    <w:basedOn w:val="DefaultParagraphFont"/>
    <w:uiPriority w:val="99"/>
    <w:unhideWhenUsed/>
    <w:rsid w:val="00EF2A84"/>
    <w:rPr>
      <w:i/>
      <w:iCs/>
    </w:rPr>
  </w:style>
  <w:style w:type="paragraph" w:customStyle="1" w:styleId="Default">
    <w:name w:val="Default"/>
    <w:rsid w:val="00247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8D3"/>
    <w:rPr>
      <w:sz w:val="22"/>
    </w:rPr>
  </w:style>
  <w:style w:type="paragraph" w:styleId="Heading1">
    <w:name w:val="heading 1"/>
    <w:basedOn w:val="Normal"/>
    <w:next w:val="Normal"/>
    <w:qFormat/>
    <w:rsid w:val="00510B55"/>
    <w:pPr>
      <w:keepNext/>
      <w:spacing w:before="120" w:after="120"/>
      <w:outlineLvl w:val="0"/>
    </w:pPr>
    <w:rPr>
      <w:rFonts w:ascii="Arial" w:hAnsi="Arial"/>
      <w:b/>
      <w:u w:val="single"/>
    </w:rPr>
  </w:style>
  <w:style w:type="paragraph" w:styleId="Heading2">
    <w:name w:val="heading 2"/>
    <w:basedOn w:val="Normal"/>
    <w:next w:val="Normal"/>
    <w:qFormat/>
    <w:pPr>
      <w:keepNext/>
      <w:spacing w:before="120"/>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color w:val="000000"/>
    </w:rPr>
  </w:style>
  <w:style w:type="paragraph" w:styleId="Heading7">
    <w:name w:val="heading 7"/>
    <w:basedOn w:val="Normal"/>
    <w:next w:val="Table"/>
    <w:qFormat/>
    <w:pPr>
      <w:keepNext/>
      <w:spacing w:before="60"/>
      <w:outlineLvl w:val="6"/>
    </w:pPr>
    <w:rPr>
      <w:rFonts w:ascii="Arial" w:hAnsi="Arial"/>
      <w:b/>
      <w:sz w:val="18"/>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000000"/>
    </w:rPr>
  </w:style>
  <w:style w:type="paragraph" w:styleId="Subtitle">
    <w:name w:val="Subtitle"/>
    <w:basedOn w:val="Normal"/>
    <w:qFormat/>
    <w:pPr>
      <w:jc w:val="center"/>
    </w:pPr>
    <w:rPr>
      <w:rFonts w:ascii="Arial" w:hAnsi="Arial"/>
      <w:b/>
      <w:color w:val="000000"/>
    </w:rPr>
  </w:style>
  <w:style w:type="paragraph" w:styleId="BodyText">
    <w:name w:val="Body Text"/>
    <w:basedOn w:val="Normal"/>
    <w:rPr>
      <w:rFonts w:ascii="Arial" w:hAnsi="Arial"/>
      <w:sz w:val="20"/>
    </w:rPr>
  </w:style>
  <w:style w:type="paragraph" w:styleId="FootnoteText">
    <w:name w:val="footnote text"/>
    <w:basedOn w:val="Normal"/>
    <w:semiHidden/>
    <w:rPr>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Table">
    <w:name w:val="Table"/>
    <w:basedOn w:val="BodyText"/>
    <w:rsid w:val="009771A6"/>
    <w:rPr>
      <w:color w:val="000000"/>
      <w:sz w:val="18"/>
    </w:rPr>
  </w:style>
  <w:style w:type="paragraph" w:styleId="ListBullet2">
    <w:name w:val="List Bullet 2"/>
    <w:basedOn w:val="Normal"/>
    <w:autoRedefine/>
    <w:rsid w:val="00877C50"/>
  </w:style>
  <w:style w:type="paragraph" w:styleId="Footer">
    <w:name w:val="footer"/>
    <w:basedOn w:val="Normal"/>
    <w:pPr>
      <w:tabs>
        <w:tab w:val="center" w:pos="4320"/>
        <w:tab w:val="right" w:pos="8640"/>
      </w:tabs>
    </w:pPr>
    <w:rPr>
      <w:rFonts w:ascii="Arial" w:hAnsi="Arial"/>
      <w:sz w:val="16"/>
    </w:rPr>
  </w:style>
  <w:style w:type="character" w:styleId="PageNumber">
    <w:name w:val="page number"/>
    <w:basedOn w:val="DefaultParagraphFont"/>
  </w:style>
  <w:style w:type="paragraph" w:styleId="BalloonText">
    <w:name w:val="Balloon Text"/>
    <w:basedOn w:val="Normal"/>
    <w:semiHidden/>
    <w:rsid w:val="002516F7"/>
    <w:rPr>
      <w:rFonts w:ascii="Tahoma" w:hAnsi="Tahoma" w:cs="Tahoma"/>
      <w:sz w:val="16"/>
      <w:szCs w:val="16"/>
    </w:rPr>
  </w:style>
  <w:style w:type="paragraph" w:customStyle="1" w:styleId="TableFootnote">
    <w:name w:val="TableFootnote"/>
    <w:basedOn w:val="Table"/>
  </w:style>
  <w:style w:type="paragraph" w:styleId="Caption">
    <w:name w:val="caption"/>
    <w:basedOn w:val="Normal"/>
    <w:next w:val="Normal"/>
    <w:qFormat/>
    <w:pPr>
      <w:keepNext/>
      <w:spacing w:before="120"/>
    </w:pPr>
    <w:rPr>
      <w:rFonts w:ascii="Arial" w:hAnsi="Arial"/>
      <w:b/>
      <w:bCs/>
      <w:sz w:val="18"/>
    </w:rPr>
  </w:style>
  <w:style w:type="paragraph" w:customStyle="1" w:styleId="StyleHeading1Black">
    <w:name w:val="Style Heading 1 + Black"/>
    <w:basedOn w:val="Heading1"/>
    <w:rsid w:val="008160D8"/>
    <w:rPr>
      <w:bCs/>
      <w:color w:val="000000"/>
    </w:rPr>
  </w:style>
  <w:style w:type="character" w:styleId="FollowedHyperlink">
    <w:name w:val="FollowedHyperlink"/>
    <w:rsid w:val="009E4E80"/>
    <w:rPr>
      <w:color w:val="800080"/>
      <w:u w:val="single"/>
    </w:rPr>
  </w:style>
  <w:style w:type="paragraph" w:styleId="NormalWeb">
    <w:name w:val="Normal (Web)"/>
    <w:basedOn w:val="Normal"/>
    <w:uiPriority w:val="99"/>
    <w:rsid w:val="00937B26"/>
    <w:pPr>
      <w:spacing w:before="100" w:beforeAutospacing="1" w:after="100" w:afterAutospacing="1"/>
    </w:pPr>
    <w:rPr>
      <w:color w:val="000080"/>
      <w:sz w:val="24"/>
      <w:szCs w:val="24"/>
    </w:rPr>
  </w:style>
  <w:style w:type="paragraph" w:styleId="EndnoteText">
    <w:name w:val="endnote text"/>
    <w:basedOn w:val="Normal"/>
    <w:link w:val="EndnoteTextChar"/>
    <w:rsid w:val="00A97819"/>
    <w:rPr>
      <w:sz w:val="20"/>
    </w:rPr>
  </w:style>
  <w:style w:type="character" w:customStyle="1" w:styleId="EndnoteTextChar">
    <w:name w:val="Endnote Text Char"/>
    <w:basedOn w:val="DefaultParagraphFont"/>
    <w:link w:val="EndnoteText"/>
    <w:rsid w:val="00A97819"/>
  </w:style>
  <w:style w:type="character" w:styleId="EndnoteReference">
    <w:name w:val="endnote reference"/>
    <w:rsid w:val="00A97819"/>
    <w:rPr>
      <w:vertAlign w:val="superscript"/>
    </w:rPr>
  </w:style>
  <w:style w:type="table" w:styleId="TableColumns4">
    <w:name w:val="Table Columns 4"/>
    <w:basedOn w:val="TableNormal"/>
    <w:rsid w:val="009771A6"/>
    <w:rPr>
      <w:rFonts w:ascii="Arial" w:hAnsi="Arial"/>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1">
    <w:name w:val="Table Simple 1"/>
    <w:basedOn w:val="TableNormal"/>
    <w:rsid w:val="00EC2EEB"/>
    <w:rPr>
      <w:rFonts w:ascii="Arial" w:hAnsi="Arial"/>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Symbol" w:hAnsi="Symbol"/>
        <w:sz w:val="18"/>
      </w:rPr>
      <w:tblPr/>
      <w:tcPr>
        <w:tcBorders>
          <w:bottom w:val="single" w:sz="6" w:space="0" w:color="000000"/>
        </w:tcBorders>
        <w:shd w:val="clear" w:color="auto" w:fill="auto"/>
      </w:tcPr>
    </w:tblStylePr>
    <w:tblStylePr w:type="lastRow">
      <w:rPr>
        <w:rFonts w:ascii="Symbol" w:hAnsi="Symbol"/>
        <w:sz w:val="18"/>
      </w:rPr>
      <w:tblPr/>
      <w:tcPr>
        <w:tcBorders>
          <w:top w:val="nil"/>
        </w:tcBorders>
        <w:shd w:val="clear" w:color="auto" w:fill="auto"/>
      </w:tcPr>
    </w:tblStylePr>
  </w:style>
  <w:style w:type="table" w:styleId="TableGrid">
    <w:name w:val="Table Grid"/>
    <w:basedOn w:val="TableNormal"/>
    <w:rsid w:val="00746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ncbitoggler-master-text">
    <w:name w:val="ui-ncbitoggler-master-text"/>
    <w:rsid w:val="000B04CE"/>
  </w:style>
  <w:style w:type="character" w:customStyle="1" w:styleId="hitsyn1">
    <w:name w:val="hit_syn1"/>
    <w:rsid w:val="002326CF"/>
    <w:rPr>
      <w:b/>
      <w:bCs/>
      <w:shd w:val="clear" w:color="auto" w:fill="FFFFDD"/>
    </w:rPr>
  </w:style>
  <w:style w:type="table" w:styleId="TableElegant">
    <w:name w:val="Table Elegant"/>
    <w:basedOn w:val="TableNormal"/>
    <w:rsid w:val="007A2A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D24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61BE"/>
    <w:pPr>
      <w:ind w:left="720"/>
    </w:pPr>
  </w:style>
  <w:style w:type="table" w:styleId="TableClassic1">
    <w:name w:val="Table Classic 1"/>
    <w:basedOn w:val="TableNormal"/>
    <w:rsid w:val="0051238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7678B"/>
    <w:rPr>
      <w:sz w:val="16"/>
      <w:szCs w:val="16"/>
    </w:rPr>
  </w:style>
  <w:style w:type="paragraph" w:styleId="CommentText">
    <w:name w:val="annotation text"/>
    <w:basedOn w:val="Normal"/>
    <w:link w:val="CommentTextChar"/>
    <w:rsid w:val="0057678B"/>
    <w:rPr>
      <w:sz w:val="20"/>
    </w:rPr>
  </w:style>
  <w:style w:type="character" w:customStyle="1" w:styleId="CommentTextChar">
    <w:name w:val="Comment Text Char"/>
    <w:basedOn w:val="DefaultParagraphFont"/>
    <w:link w:val="CommentText"/>
    <w:rsid w:val="0057678B"/>
  </w:style>
  <w:style w:type="paragraph" w:styleId="CommentSubject">
    <w:name w:val="annotation subject"/>
    <w:basedOn w:val="CommentText"/>
    <w:next w:val="CommentText"/>
    <w:link w:val="CommentSubjectChar"/>
    <w:rsid w:val="0057678B"/>
    <w:rPr>
      <w:b/>
      <w:bCs/>
    </w:rPr>
  </w:style>
  <w:style w:type="character" w:customStyle="1" w:styleId="CommentSubjectChar">
    <w:name w:val="Comment Subject Char"/>
    <w:basedOn w:val="CommentTextChar"/>
    <w:link w:val="CommentSubject"/>
    <w:rsid w:val="0057678B"/>
    <w:rPr>
      <w:b/>
      <w:bCs/>
    </w:rPr>
  </w:style>
  <w:style w:type="paragraph" w:styleId="Revision">
    <w:name w:val="Revision"/>
    <w:hidden/>
    <w:uiPriority w:val="71"/>
    <w:rsid w:val="000E12C7"/>
    <w:rPr>
      <w:sz w:val="22"/>
    </w:rPr>
  </w:style>
  <w:style w:type="character" w:styleId="HTMLCite">
    <w:name w:val="HTML Cite"/>
    <w:basedOn w:val="DefaultParagraphFont"/>
    <w:uiPriority w:val="99"/>
    <w:unhideWhenUsed/>
    <w:rsid w:val="00EF2A84"/>
    <w:rPr>
      <w:i/>
      <w:iCs/>
    </w:rPr>
  </w:style>
  <w:style w:type="paragraph" w:customStyle="1" w:styleId="Default">
    <w:name w:val="Default"/>
    <w:rsid w:val="00247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8836">
      <w:bodyDiv w:val="1"/>
      <w:marLeft w:val="0"/>
      <w:marRight w:val="0"/>
      <w:marTop w:val="0"/>
      <w:marBottom w:val="0"/>
      <w:divBdr>
        <w:top w:val="none" w:sz="0" w:space="0" w:color="auto"/>
        <w:left w:val="none" w:sz="0" w:space="0" w:color="auto"/>
        <w:bottom w:val="none" w:sz="0" w:space="0" w:color="auto"/>
        <w:right w:val="none" w:sz="0" w:space="0" w:color="auto"/>
      </w:divBdr>
      <w:divsChild>
        <w:div w:id="2099907906">
          <w:marLeft w:val="0"/>
          <w:marRight w:val="0"/>
          <w:marTop w:val="0"/>
          <w:marBottom w:val="0"/>
          <w:divBdr>
            <w:top w:val="none" w:sz="0" w:space="0" w:color="auto"/>
            <w:left w:val="none" w:sz="0" w:space="0" w:color="auto"/>
            <w:bottom w:val="none" w:sz="0" w:space="0" w:color="auto"/>
            <w:right w:val="none" w:sz="0" w:space="0" w:color="auto"/>
          </w:divBdr>
          <w:divsChild>
            <w:div w:id="1622300985">
              <w:marLeft w:val="0"/>
              <w:marRight w:val="0"/>
              <w:marTop w:val="0"/>
              <w:marBottom w:val="0"/>
              <w:divBdr>
                <w:top w:val="none" w:sz="0" w:space="0" w:color="auto"/>
                <w:left w:val="none" w:sz="0" w:space="0" w:color="auto"/>
                <w:bottom w:val="none" w:sz="0" w:space="0" w:color="auto"/>
                <w:right w:val="none" w:sz="0" w:space="0" w:color="auto"/>
              </w:divBdr>
              <w:divsChild>
                <w:div w:id="1768577730">
                  <w:marLeft w:val="0"/>
                  <w:marRight w:val="0"/>
                  <w:marTop w:val="0"/>
                  <w:marBottom w:val="0"/>
                  <w:divBdr>
                    <w:top w:val="none" w:sz="0" w:space="0" w:color="auto"/>
                    <w:left w:val="none" w:sz="0" w:space="0" w:color="auto"/>
                    <w:bottom w:val="none" w:sz="0" w:space="0" w:color="auto"/>
                    <w:right w:val="none" w:sz="0" w:space="0" w:color="auto"/>
                  </w:divBdr>
                  <w:divsChild>
                    <w:div w:id="2088503149">
                      <w:marLeft w:val="0"/>
                      <w:marRight w:val="0"/>
                      <w:marTop w:val="0"/>
                      <w:marBottom w:val="0"/>
                      <w:divBdr>
                        <w:top w:val="none" w:sz="0" w:space="0" w:color="auto"/>
                        <w:left w:val="none" w:sz="0" w:space="0" w:color="auto"/>
                        <w:bottom w:val="none" w:sz="0" w:space="0" w:color="auto"/>
                        <w:right w:val="none" w:sz="0" w:space="0" w:color="auto"/>
                      </w:divBdr>
                      <w:divsChild>
                        <w:div w:id="67198185">
                          <w:marLeft w:val="0"/>
                          <w:marRight w:val="0"/>
                          <w:marTop w:val="0"/>
                          <w:marBottom w:val="0"/>
                          <w:divBdr>
                            <w:top w:val="none" w:sz="0" w:space="0" w:color="auto"/>
                            <w:left w:val="none" w:sz="0" w:space="0" w:color="auto"/>
                            <w:bottom w:val="none" w:sz="0" w:space="0" w:color="auto"/>
                            <w:right w:val="none" w:sz="0" w:space="0" w:color="auto"/>
                          </w:divBdr>
                          <w:divsChild>
                            <w:div w:id="473719318">
                              <w:marLeft w:val="0"/>
                              <w:marRight w:val="0"/>
                              <w:marTop w:val="0"/>
                              <w:marBottom w:val="0"/>
                              <w:divBdr>
                                <w:top w:val="none" w:sz="0" w:space="0" w:color="auto"/>
                                <w:left w:val="none" w:sz="0" w:space="0" w:color="auto"/>
                                <w:bottom w:val="none" w:sz="0" w:space="0" w:color="auto"/>
                                <w:right w:val="none" w:sz="0" w:space="0" w:color="auto"/>
                              </w:divBdr>
                              <w:divsChild>
                                <w:div w:id="1221019747">
                                  <w:marLeft w:val="0"/>
                                  <w:marRight w:val="0"/>
                                  <w:marTop w:val="0"/>
                                  <w:marBottom w:val="0"/>
                                  <w:divBdr>
                                    <w:top w:val="none" w:sz="0" w:space="0" w:color="auto"/>
                                    <w:left w:val="none" w:sz="0" w:space="0" w:color="auto"/>
                                    <w:bottom w:val="none" w:sz="0" w:space="0" w:color="auto"/>
                                    <w:right w:val="none" w:sz="0" w:space="0" w:color="auto"/>
                                  </w:divBdr>
                                  <w:divsChild>
                                    <w:div w:id="711419699">
                                      <w:marLeft w:val="0"/>
                                      <w:marRight w:val="0"/>
                                      <w:marTop w:val="0"/>
                                      <w:marBottom w:val="0"/>
                                      <w:divBdr>
                                        <w:top w:val="none" w:sz="0" w:space="0" w:color="auto"/>
                                        <w:left w:val="none" w:sz="0" w:space="0" w:color="auto"/>
                                        <w:bottom w:val="none" w:sz="0" w:space="0" w:color="auto"/>
                                        <w:right w:val="none" w:sz="0" w:space="0" w:color="auto"/>
                                      </w:divBdr>
                                      <w:divsChild>
                                        <w:div w:id="17242111">
                                          <w:marLeft w:val="0"/>
                                          <w:marRight w:val="0"/>
                                          <w:marTop w:val="0"/>
                                          <w:marBottom w:val="0"/>
                                          <w:divBdr>
                                            <w:top w:val="none" w:sz="0" w:space="0" w:color="auto"/>
                                            <w:left w:val="none" w:sz="0" w:space="0" w:color="auto"/>
                                            <w:bottom w:val="none" w:sz="0" w:space="0" w:color="auto"/>
                                            <w:right w:val="none" w:sz="0" w:space="0" w:color="auto"/>
                                          </w:divBdr>
                                          <w:divsChild>
                                            <w:div w:id="9906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401795">
      <w:bodyDiv w:val="1"/>
      <w:marLeft w:val="0"/>
      <w:marRight w:val="0"/>
      <w:marTop w:val="0"/>
      <w:marBottom w:val="0"/>
      <w:divBdr>
        <w:top w:val="none" w:sz="0" w:space="0" w:color="auto"/>
        <w:left w:val="none" w:sz="0" w:space="0" w:color="auto"/>
        <w:bottom w:val="none" w:sz="0" w:space="0" w:color="auto"/>
        <w:right w:val="none" w:sz="0" w:space="0" w:color="auto"/>
      </w:divBdr>
      <w:divsChild>
        <w:div w:id="1668553283">
          <w:marLeft w:val="0"/>
          <w:marRight w:val="0"/>
          <w:marTop w:val="0"/>
          <w:marBottom w:val="0"/>
          <w:divBdr>
            <w:top w:val="none" w:sz="0" w:space="0" w:color="auto"/>
            <w:left w:val="none" w:sz="0" w:space="0" w:color="auto"/>
            <w:bottom w:val="none" w:sz="0" w:space="0" w:color="auto"/>
            <w:right w:val="none" w:sz="0" w:space="0" w:color="auto"/>
          </w:divBdr>
          <w:divsChild>
            <w:div w:id="1415974722">
              <w:marLeft w:val="450"/>
              <w:marRight w:val="900"/>
              <w:marTop w:val="450"/>
              <w:marBottom w:val="450"/>
              <w:divBdr>
                <w:top w:val="none" w:sz="0" w:space="0" w:color="auto"/>
                <w:left w:val="none" w:sz="0" w:space="0" w:color="auto"/>
                <w:bottom w:val="none" w:sz="0" w:space="0" w:color="auto"/>
                <w:right w:val="none" w:sz="0" w:space="0" w:color="auto"/>
              </w:divBdr>
              <w:divsChild>
                <w:div w:id="1363365779">
                  <w:marLeft w:val="0"/>
                  <w:marRight w:val="0"/>
                  <w:marTop w:val="0"/>
                  <w:marBottom w:val="0"/>
                  <w:divBdr>
                    <w:top w:val="none" w:sz="0" w:space="0" w:color="auto"/>
                    <w:left w:val="none" w:sz="0" w:space="0" w:color="auto"/>
                    <w:bottom w:val="none" w:sz="0" w:space="0" w:color="auto"/>
                    <w:right w:val="none" w:sz="0" w:space="0" w:color="auto"/>
                  </w:divBdr>
                  <w:divsChild>
                    <w:div w:id="21386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63458">
      <w:bodyDiv w:val="1"/>
      <w:marLeft w:val="0"/>
      <w:marRight w:val="0"/>
      <w:marTop w:val="0"/>
      <w:marBottom w:val="0"/>
      <w:divBdr>
        <w:top w:val="none" w:sz="0" w:space="0" w:color="auto"/>
        <w:left w:val="none" w:sz="0" w:space="0" w:color="auto"/>
        <w:bottom w:val="none" w:sz="0" w:space="0" w:color="auto"/>
        <w:right w:val="none" w:sz="0" w:space="0" w:color="auto"/>
      </w:divBdr>
    </w:div>
    <w:div w:id="534122778">
      <w:bodyDiv w:val="1"/>
      <w:marLeft w:val="0"/>
      <w:marRight w:val="0"/>
      <w:marTop w:val="0"/>
      <w:marBottom w:val="0"/>
      <w:divBdr>
        <w:top w:val="none" w:sz="0" w:space="0" w:color="auto"/>
        <w:left w:val="none" w:sz="0" w:space="0" w:color="auto"/>
        <w:bottom w:val="none" w:sz="0" w:space="0" w:color="auto"/>
        <w:right w:val="none" w:sz="0" w:space="0" w:color="auto"/>
      </w:divBdr>
      <w:divsChild>
        <w:div w:id="622536828">
          <w:marLeft w:val="0"/>
          <w:marRight w:val="0"/>
          <w:marTop w:val="0"/>
          <w:marBottom w:val="0"/>
          <w:divBdr>
            <w:top w:val="none" w:sz="0" w:space="0" w:color="auto"/>
            <w:left w:val="none" w:sz="0" w:space="0" w:color="auto"/>
            <w:bottom w:val="none" w:sz="0" w:space="0" w:color="auto"/>
            <w:right w:val="none" w:sz="0" w:space="0" w:color="auto"/>
          </w:divBdr>
          <w:divsChild>
            <w:div w:id="442501155">
              <w:marLeft w:val="0"/>
              <w:marRight w:val="0"/>
              <w:marTop w:val="0"/>
              <w:marBottom w:val="0"/>
              <w:divBdr>
                <w:top w:val="none" w:sz="0" w:space="0" w:color="auto"/>
                <w:left w:val="none" w:sz="0" w:space="0" w:color="auto"/>
                <w:bottom w:val="none" w:sz="0" w:space="0" w:color="auto"/>
                <w:right w:val="none" w:sz="0" w:space="0" w:color="auto"/>
              </w:divBdr>
              <w:divsChild>
                <w:div w:id="320819583">
                  <w:marLeft w:val="0"/>
                  <w:marRight w:val="0"/>
                  <w:marTop w:val="0"/>
                  <w:marBottom w:val="0"/>
                  <w:divBdr>
                    <w:top w:val="none" w:sz="0" w:space="0" w:color="auto"/>
                    <w:left w:val="none" w:sz="0" w:space="0" w:color="auto"/>
                    <w:bottom w:val="none" w:sz="0" w:space="0" w:color="auto"/>
                    <w:right w:val="none" w:sz="0" w:space="0" w:color="auto"/>
                  </w:divBdr>
                  <w:divsChild>
                    <w:div w:id="864559183">
                      <w:marLeft w:val="0"/>
                      <w:marRight w:val="0"/>
                      <w:marTop w:val="0"/>
                      <w:marBottom w:val="0"/>
                      <w:divBdr>
                        <w:top w:val="none" w:sz="0" w:space="0" w:color="auto"/>
                        <w:left w:val="none" w:sz="0" w:space="0" w:color="auto"/>
                        <w:bottom w:val="none" w:sz="0" w:space="0" w:color="auto"/>
                        <w:right w:val="none" w:sz="0" w:space="0" w:color="auto"/>
                      </w:divBdr>
                      <w:divsChild>
                        <w:div w:id="621964150">
                          <w:marLeft w:val="0"/>
                          <w:marRight w:val="0"/>
                          <w:marTop w:val="0"/>
                          <w:marBottom w:val="0"/>
                          <w:divBdr>
                            <w:top w:val="none" w:sz="0" w:space="0" w:color="auto"/>
                            <w:left w:val="none" w:sz="0" w:space="0" w:color="auto"/>
                            <w:bottom w:val="none" w:sz="0" w:space="0" w:color="auto"/>
                            <w:right w:val="none" w:sz="0" w:space="0" w:color="auto"/>
                          </w:divBdr>
                          <w:divsChild>
                            <w:div w:id="2062751860">
                              <w:marLeft w:val="0"/>
                              <w:marRight w:val="0"/>
                              <w:marTop w:val="0"/>
                              <w:marBottom w:val="0"/>
                              <w:divBdr>
                                <w:top w:val="none" w:sz="0" w:space="0" w:color="auto"/>
                                <w:left w:val="none" w:sz="0" w:space="0" w:color="auto"/>
                                <w:bottom w:val="none" w:sz="0" w:space="0" w:color="auto"/>
                                <w:right w:val="none" w:sz="0" w:space="0" w:color="auto"/>
                              </w:divBdr>
                              <w:divsChild>
                                <w:div w:id="607927867">
                                  <w:marLeft w:val="0"/>
                                  <w:marRight w:val="0"/>
                                  <w:marTop w:val="0"/>
                                  <w:marBottom w:val="0"/>
                                  <w:divBdr>
                                    <w:top w:val="none" w:sz="0" w:space="0" w:color="auto"/>
                                    <w:left w:val="none" w:sz="0" w:space="0" w:color="auto"/>
                                    <w:bottom w:val="none" w:sz="0" w:space="0" w:color="auto"/>
                                    <w:right w:val="none" w:sz="0" w:space="0" w:color="auto"/>
                                  </w:divBdr>
                                  <w:divsChild>
                                    <w:div w:id="780687444">
                                      <w:marLeft w:val="0"/>
                                      <w:marRight w:val="0"/>
                                      <w:marTop w:val="0"/>
                                      <w:marBottom w:val="0"/>
                                      <w:divBdr>
                                        <w:top w:val="none" w:sz="0" w:space="0" w:color="auto"/>
                                        <w:left w:val="none" w:sz="0" w:space="0" w:color="auto"/>
                                        <w:bottom w:val="none" w:sz="0" w:space="0" w:color="auto"/>
                                        <w:right w:val="none" w:sz="0" w:space="0" w:color="auto"/>
                                      </w:divBdr>
                                      <w:divsChild>
                                        <w:div w:id="1644042947">
                                          <w:marLeft w:val="0"/>
                                          <w:marRight w:val="0"/>
                                          <w:marTop w:val="0"/>
                                          <w:marBottom w:val="0"/>
                                          <w:divBdr>
                                            <w:top w:val="none" w:sz="0" w:space="0" w:color="auto"/>
                                            <w:left w:val="none" w:sz="0" w:space="0" w:color="auto"/>
                                            <w:bottom w:val="none" w:sz="0" w:space="0" w:color="auto"/>
                                            <w:right w:val="none" w:sz="0" w:space="0" w:color="auto"/>
                                          </w:divBdr>
                                          <w:divsChild>
                                            <w:div w:id="18564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013208">
      <w:bodyDiv w:val="1"/>
      <w:marLeft w:val="0"/>
      <w:marRight w:val="0"/>
      <w:marTop w:val="0"/>
      <w:marBottom w:val="0"/>
      <w:divBdr>
        <w:top w:val="none" w:sz="0" w:space="0" w:color="auto"/>
        <w:left w:val="none" w:sz="0" w:space="0" w:color="auto"/>
        <w:bottom w:val="none" w:sz="0" w:space="0" w:color="auto"/>
        <w:right w:val="none" w:sz="0" w:space="0" w:color="auto"/>
      </w:divBdr>
      <w:divsChild>
        <w:div w:id="953101903">
          <w:marLeft w:val="0"/>
          <w:marRight w:val="0"/>
          <w:marTop w:val="0"/>
          <w:marBottom w:val="0"/>
          <w:divBdr>
            <w:top w:val="none" w:sz="0" w:space="0" w:color="auto"/>
            <w:left w:val="none" w:sz="0" w:space="0" w:color="auto"/>
            <w:bottom w:val="none" w:sz="0" w:space="0" w:color="auto"/>
            <w:right w:val="none" w:sz="0" w:space="0" w:color="auto"/>
          </w:divBdr>
          <w:divsChild>
            <w:div w:id="2138258875">
              <w:marLeft w:val="450"/>
              <w:marRight w:val="900"/>
              <w:marTop w:val="450"/>
              <w:marBottom w:val="450"/>
              <w:divBdr>
                <w:top w:val="none" w:sz="0" w:space="0" w:color="auto"/>
                <w:left w:val="none" w:sz="0" w:space="0" w:color="auto"/>
                <w:bottom w:val="none" w:sz="0" w:space="0" w:color="auto"/>
                <w:right w:val="none" w:sz="0" w:space="0" w:color="auto"/>
              </w:divBdr>
              <w:divsChild>
                <w:div w:id="772627195">
                  <w:marLeft w:val="0"/>
                  <w:marRight w:val="0"/>
                  <w:marTop w:val="0"/>
                  <w:marBottom w:val="0"/>
                  <w:divBdr>
                    <w:top w:val="none" w:sz="0" w:space="0" w:color="auto"/>
                    <w:left w:val="none" w:sz="0" w:space="0" w:color="auto"/>
                    <w:bottom w:val="none" w:sz="0" w:space="0" w:color="auto"/>
                    <w:right w:val="none" w:sz="0" w:space="0" w:color="auto"/>
                  </w:divBdr>
                  <w:divsChild>
                    <w:div w:id="123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5651">
      <w:bodyDiv w:val="1"/>
      <w:marLeft w:val="0"/>
      <w:marRight w:val="0"/>
      <w:marTop w:val="0"/>
      <w:marBottom w:val="0"/>
      <w:divBdr>
        <w:top w:val="none" w:sz="0" w:space="0" w:color="auto"/>
        <w:left w:val="none" w:sz="0" w:space="0" w:color="auto"/>
        <w:bottom w:val="none" w:sz="0" w:space="0" w:color="auto"/>
        <w:right w:val="none" w:sz="0" w:space="0" w:color="auto"/>
      </w:divBdr>
    </w:div>
    <w:div w:id="642082186">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sChild>
        <w:div w:id="2085032235">
          <w:marLeft w:val="0"/>
          <w:marRight w:val="1"/>
          <w:marTop w:val="0"/>
          <w:marBottom w:val="0"/>
          <w:divBdr>
            <w:top w:val="none" w:sz="0" w:space="0" w:color="auto"/>
            <w:left w:val="none" w:sz="0" w:space="0" w:color="auto"/>
            <w:bottom w:val="none" w:sz="0" w:space="0" w:color="auto"/>
            <w:right w:val="none" w:sz="0" w:space="0" w:color="auto"/>
          </w:divBdr>
          <w:divsChild>
            <w:div w:id="254562356">
              <w:marLeft w:val="0"/>
              <w:marRight w:val="0"/>
              <w:marTop w:val="0"/>
              <w:marBottom w:val="0"/>
              <w:divBdr>
                <w:top w:val="none" w:sz="0" w:space="0" w:color="auto"/>
                <w:left w:val="none" w:sz="0" w:space="0" w:color="auto"/>
                <w:bottom w:val="none" w:sz="0" w:space="0" w:color="auto"/>
                <w:right w:val="none" w:sz="0" w:space="0" w:color="auto"/>
              </w:divBdr>
              <w:divsChild>
                <w:div w:id="837111710">
                  <w:marLeft w:val="0"/>
                  <w:marRight w:val="1"/>
                  <w:marTop w:val="0"/>
                  <w:marBottom w:val="0"/>
                  <w:divBdr>
                    <w:top w:val="none" w:sz="0" w:space="0" w:color="auto"/>
                    <w:left w:val="none" w:sz="0" w:space="0" w:color="auto"/>
                    <w:bottom w:val="none" w:sz="0" w:space="0" w:color="auto"/>
                    <w:right w:val="none" w:sz="0" w:space="0" w:color="auto"/>
                  </w:divBdr>
                  <w:divsChild>
                    <w:div w:id="347872516">
                      <w:marLeft w:val="0"/>
                      <w:marRight w:val="0"/>
                      <w:marTop w:val="0"/>
                      <w:marBottom w:val="0"/>
                      <w:divBdr>
                        <w:top w:val="none" w:sz="0" w:space="0" w:color="auto"/>
                        <w:left w:val="none" w:sz="0" w:space="0" w:color="auto"/>
                        <w:bottom w:val="none" w:sz="0" w:space="0" w:color="auto"/>
                        <w:right w:val="none" w:sz="0" w:space="0" w:color="auto"/>
                      </w:divBdr>
                      <w:divsChild>
                        <w:div w:id="2128620851">
                          <w:marLeft w:val="0"/>
                          <w:marRight w:val="0"/>
                          <w:marTop w:val="0"/>
                          <w:marBottom w:val="0"/>
                          <w:divBdr>
                            <w:top w:val="none" w:sz="0" w:space="0" w:color="auto"/>
                            <w:left w:val="none" w:sz="0" w:space="0" w:color="auto"/>
                            <w:bottom w:val="none" w:sz="0" w:space="0" w:color="auto"/>
                            <w:right w:val="none" w:sz="0" w:space="0" w:color="auto"/>
                          </w:divBdr>
                          <w:divsChild>
                            <w:div w:id="780611784">
                              <w:marLeft w:val="0"/>
                              <w:marRight w:val="0"/>
                              <w:marTop w:val="120"/>
                              <w:marBottom w:val="360"/>
                              <w:divBdr>
                                <w:top w:val="none" w:sz="0" w:space="0" w:color="auto"/>
                                <w:left w:val="none" w:sz="0" w:space="0" w:color="auto"/>
                                <w:bottom w:val="none" w:sz="0" w:space="0" w:color="auto"/>
                                <w:right w:val="none" w:sz="0" w:space="0" w:color="auto"/>
                              </w:divBdr>
                              <w:divsChild>
                                <w:div w:id="189758215">
                                  <w:marLeft w:val="0"/>
                                  <w:marRight w:val="0"/>
                                  <w:marTop w:val="0"/>
                                  <w:marBottom w:val="0"/>
                                  <w:divBdr>
                                    <w:top w:val="none" w:sz="0" w:space="0" w:color="auto"/>
                                    <w:left w:val="none" w:sz="0" w:space="0" w:color="auto"/>
                                    <w:bottom w:val="none" w:sz="0" w:space="0" w:color="auto"/>
                                    <w:right w:val="none" w:sz="0" w:space="0" w:color="auto"/>
                                  </w:divBdr>
                                </w:div>
                                <w:div w:id="372920659">
                                  <w:marLeft w:val="0"/>
                                  <w:marRight w:val="0"/>
                                  <w:marTop w:val="0"/>
                                  <w:marBottom w:val="0"/>
                                  <w:divBdr>
                                    <w:top w:val="none" w:sz="0" w:space="0" w:color="auto"/>
                                    <w:left w:val="none" w:sz="0" w:space="0" w:color="auto"/>
                                    <w:bottom w:val="none" w:sz="0" w:space="0" w:color="auto"/>
                                    <w:right w:val="none" w:sz="0" w:space="0" w:color="auto"/>
                                  </w:divBdr>
                                </w:div>
                                <w:div w:id="15701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33593">
      <w:bodyDiv w:val="1"/>
      <w:marLeft w:val="0"/>
      <w:marRight w:val="0"/>
      <w:marTop w:val="0"/>
      <w:marBottom w:val="0"/>
      <w:divBdr>
        <w:top w:val="none" w:sz="0" w:space="0" w:color="auto"/>
        <w:left w:val="none" w:sz="0" w:space="0" w:color="auto"/>
        <w:bottom w:val="none" w:sz="0" w:space="0" w:color="auto"/>
        <w:right w:val="none" w:sz="0" w:space="0" w:color="auto"/>
      </w:divBdr>
      <w:divsChild>
        <w:div w:id="1882669692">
          <w:marLeft w:val="0"/>
          <w:marRight w:val="0"/>
          <w:marTop w:val="0"/>
          <w:marBottom w:val="0"/>
          <w:divBdr>
            <w:top w:val="none" w:sz="0" w:space="0" w:color="auto"/>
            <w:left w:val="none" w:sz="0" w:space="0" w:color="auto"/>
            <w:bottom w:val="none" w:sz="0" w:space="0" w:color="auto"/>
            <w:right w:val="none" w:sz="0" w:space="0" w:color="auto"/>
          </w:divBdr>
          <w:divsChild>
            <w:div w:id="368721530">
              <w:marLeft w:val="0"/>
              <w:marRight w:val="0"/>
              <w:marTop w:val="0"/>
              <w:marBottom w:val="0"/>
              <w:divBdr>
                <w:top w:val="none" w:sz="0" w:space="0" w:color="auto"/>
                <w:left w:val="none" w:sz="0" w:space="0" w:color="auto"/>
                <w:bottom w:val="none" w:sz="0" w:space="0" w:color="auto"/>
                <w:right w:val="none" w:sz="0" w:space="0" w:color="auto"/>
              </w:divBdr>
              <w:divsChild>
                <w:div w:id="1089883138">
                  <w:marLeft w:val="0"/>
                  <w:marRight w:val="0"/>
                  <w:marTop w:val="0"/>
                  <w:marBottom w:val="0"/>
                  <w:divBdr>
                    <w:top w:val="none" w:sz="0" w:space="0" w:color="auto"/>
                    <w:left w:val="none" w:sz="0" w:space="0" w:color="auto"/>
                    <w:bottom w:val="none" w:sz="0" w:space="0" w:color="auto"/>
                    <w:right w:val="none" w:sz="0" w:space="0" w:color="auto"/>
                  </w:divBdr>
                  <w:divsChild>
                    <w:div w:id="1889877218">
                      <w:marLeft w:val="0"/>
                      <w:marRight w:val="0"/>
                      <w:marTop w:val="0"/>
                      <w:marBottom w:val="0"/>
                      <w:divBdr>
                        <w:top w:val="none" w:sz="0" w:space="0" w:color="auto"/>
                        <w:left w:val="none" w:sz="0" w:space="0" w:color="auto"/>
                        <w:bottom w:val="none" w:sz="0" w:space="0" w:color="auto"/>
                        <w:right w:val="none" w:sz="0" w:space="0" w:color="auto"/>
                      </w:divBdr>
                      <w:divsChild>
                        <w:div w:id="1160541489">
                          <w:marLeft w:val="0"/>
                          <w:marRight w:val="0"/>
                          <w:marTop w:val="0"/>
                          <w:marBottom w:val="0"/>
                          <w:divBdr>
                            <w:top w:val="none" w:sz="0" w:space="0" w:color="auto"/>
                            <w:left w:val="none" w:sz="0" w:space="0" w:color="auto"/>
                            <w:bottom w:val="none" w:sz="0" w:space="0" w:color="auto"/>
                            <w:right w:val="none" w:sz="0" w:space="0" w:color="auto"/>
                          </w:divBdr>
                          <w:divsChild>
                            <w:div w:id="322317327">
                              <w:marLeft w:val="0"/>
                              <w:marRight w:val="0"/>
                              <w:marTop w:val="0"/>
                              <w:marBottom w:val="0"/>
                              <w:divBdr>
                                <w:top w:val="none" w:sz="0" w:space="0" w:color="auto"/>
                                <w:left w:val="none" w:sz="0" w:space="0" w:color="auto"/>
                                <w:bottom w:val="none" w:sz="0" w:space="0" w:color="auto"/>
                                <w:right w:val="none" w:sz="0" w:space="0" w:color="auto"/>
                              </w:divBdr>
                              <w:divsChild>
                                <w:div w:id="835917416">
                                  <w:marLeft w:val="0"/>
                                  <w:marRight w:val="0"/>
                                  <w:marTop w:val="0"/>
                                  <w:marBottom w:val="0"/>
                                  <w:divBdr>
                                    <w:top w:val="none" w:sz="0" w:space="0" w:color="auto"/>
                                    <w:left w:val="none" w:sz="0" w:space="0" w:color="auto"/>
                                    <w:bottom w:val="none" w:sz="0" w:space="0" w:color="auto"/>
                                    <w:right w:val="none" w:sz="0" w:space="0" w:color="auto"/>
                                  </w:divBdr>
                                  <w:divsChild>
                                    <w:div w:id="441461521">
                                      <w:marLeft w:val="0"/>
                                      <w:marRight w:val="0"/>
                                      <w:marTop w:val="0"/>
                                      <w:marBottom w:val="0"/>
                                      <w:divBdr>
                                        <w:top w:val="none" w:sz="0" w:space="0" w:color="auto"/>
                                        <w:left w:val="none" w:sz="0" w:space="0" w:color="auto"/>
                                        <w:bottom w:val="none" w:sz="0" w:space="0" w:color="auto"/>
                                        <w:right w:val="none" w:sz="0" w:space="0" w:color="auto"/>
                                      </w:divBdr>
                                      <w:divsChild>
                                        <w:div w:id="100731228">
                                          <w:marLeft w:val="0"/>
                                          <w:marRight w:val="0"/>
                                          <w:marTop w:val="0"/>
                                          <w:marBottom w:val="0"/>
                                          <w:divBdr>
                                            <w:top w:val="none" w:sz="0" w:space="0" w:color="auto"/>
                                            <w:left w:val="none" w:sz="0" w:space="0" w:color="auto"/>
                                            <w:bottom w:val="none" w:sz="0" w:space="0" w:color="auto"/>
                                            <w:right w:val="none" w:sz="0" w:space="0" w:color="auto"/>
                                          </w:divBdr>
                                          <w:divsChild>
                                            <w:div w:id="19923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893004">
      <w:bodyDiv w:val="1"/>
      <w:marLeft w:val="0"/>
      <w:marRight w:val="0"/>
      <w:marTop w:val="0"/>
      <w:marBottom w:val="0"/>
      <w:divBdr>
        <w:top w:val="none" w:sz="0" w:space="0" w:color="auto"/>
        <w:left w:val="none" w:sz="0" w:space="0" w:color="auto"/>
        <w:bottom w:val="none" w:sz="0" w:space="0" w:color="auto"/>
        <w:right w:val="none" w:sz="0" w:space="0" w:color="auto"/>
      </w:divBdr>
      <w:divsChild>
        <w:div w:id="2110152285">
          <w:marLeft w:val="0"/>
          <w:marRight w:val="0"/>
          <w:marTop w:val="0"/>
          <w:marBottom w:val="0"/>
          <w:divBdr>
            <w:top w:val="none" w:sz="0" w:space="0" w:color="auto"/>
            <w:left w:val="none" w:sz="0" w:space="0" w:color="auto"/>
            <w:bottom w:val="none" w:sz="0" w:space="0" w:color="auto"/>
            <w:right w:val="none" w:sz="0" w:space="0" w:color="auto"/>
          </w:divBdr>
          <w:divsChild>
            <w:div w:id="293798218">
              <w:marLeft w:val="450"/>
              <w:marRight w:val="900"/>
              <w:marTop w:val="450"/>
              <w:marBottom w:val="450"/>
              <w:divBdr>
                <w:top w:val="none" w:sz="0" w:space="0" w:color="auto"/>
                <w:left w:val="none" w:sz="0" w:space="0" w:color="auto"/>
                <w:bottom w:val="none" w:sz="0" w:space="0" w:color="auto"/>
                <w:right w:val="none" w:sz="0" w:space="0" w:color="auto"/>
              </w:divBdr>
              <w:divsChild>
                <w:div w:id="1227036354">
                  <w:marLeft w:val="0"/>
                  <w:marRight w:val="0"/>
                  <w:marTop w:val="0"/>
                  <w:marBottom w:val="0"/>
                  <w:divBdr>
                    <w:top w:val="none" w:sz="0" w:space="0" w:color="auto"/>
                    <w:left w:val="none" w:sz="0" w:space="0" w:color="auto"/>
                    <w:bottom w:val="none" w:sz="0" w:space="0" w:color="auto"/>
                    <w:right w:val="none" w:sz="0" w:space="0" w:color="auto"/>
                  </w:divBdr>
                  <w:divsChild>
                    <w:div w:id="3672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8366">
      <w:bodyDiv w:val="1"/>
      <w:marLeft w:val="0"/>
      <w:marRight w:val="0"/>
      <w:marTop w:val="0"/>
      <w:marBottom w:val="0"/>
      <w:divBdr>
        <w:top w:val="none" w:sz="0" w:space="0" w:color="auto"/>
        <w:left w:val="none" w:sz="0" w:space="0" w:color="auto"/>
        <w:bottom w:val="none" w:sz="0" w:space="0" w:color="auto"/>
        <w:right w:val="none" w:sz="0" w:space="0" w:color="auto"/>
      </w:divBdr>
    </w:div>
    <w:div w:id="1170145618">
      <w:bodyDiv w:val="1"/>
      <w:marLeft w:val="0"/>
      <w:marRight w:val="0"/>
      <w:marTop w:val="0"/>
      <w:marBottom w:val="0"/>
      <w:divBdr>
        <w:top w:val="none" w:sz="0" w:space="0" w:color="auto"/>
        <w:left w:val="none" w:sz="0" w:space="0" w:color="auto"/>
        <w:bottom w:val="none" w:sz="0" w:space="0" w:color="auto"/>
        <w:right w:val="none" w:sz="0" w:space="0" w:color="auto"/>
      </w:divBdr>
    </w:div>
    <w:div w:id="1451974735">
      <w:bodyDiv w:val="1"/>
      <w:marLeft w:val="0"/>
      <w:marRight w:val="0"/>
      <w:marTop w:val="0"/>
      <w:marBottom w:val="0"/>
      <w:divBdr>
        <w:top w:val="none" w:sz="0" w:space="0" w:color="auto"/>
        <w:left w:val="none" w:sz="0" w:space="0" w:color="auto"/>
        <w:bottom w:val="none" w:sz="0" w:space="0" w:color="auto"/>
        <w:right w:val="none" w:sz="0" w:space="0" w:color="auto"/>
      </w:divBdr>
    </w:div>
    <w:div w:id="1530336156">
      <w:bodyDiv w:val="1"/>
      <w:marLeft w:val="0"/>
      <w:marRight w:val="0"/>
      <w:marTop w:val="0"/>
      <w:marBottom w:val="0"/>
      <w:divBdr>
        <w:top w:val="none" w:sz="0" w:space="0" w:color="auto"/>
        <w:left w:val="none" w:sz="0" w:space="0" w:color="auto"/>
        <w:bottom w:val="none" w:sz="0" w:space="0" w:color="auto"/>
        <w:right w:val="none" w:sz="0" w:space="0" w:color="auto"/>
      </w:divBdr>
    </w:div>
    <w:div w:id="1554197253">
      <w:bodyDiv w:val="1"/>
      <w:marLeft w:val="0"/>
      <w:marRight w:val="0"/>
      <w:marTop w:val="0"/>
      <w:marBottom w:val="0"/>
      <w:divBdr>
        <w:top w:val="none" w:sz="0" w:space="0" w:color="auto"/>
        <w:left w:val="none" w:sz="0" w:space="0" w:color="auto"/>
        <w:bottom w:val="none" w:sz="0" w:space="0" w:color="auto"/>
        <w:right w:val="none" w:sz="0" w:space="0" w:color="auto"/>
      </w:divBdr>
      <w:divsChild>
        <w:div w:id="1133018130">
          <w:marLeft w:val="0"/>
          <w:marRight w:val="0"/>
          <w:marTop w:val="0"/>
          <w:marBottom w:val="0"/>
          <w:divBdr>
            <w:top w:val="none" w:sz="0" w:space="0" w:color="auto"/>
            <w:left w:val="none" w:sz="0" w:space="0" w:color="auto"/>
            <w:bottom w:val="none" w:sz="0" w:space="0" w:color="auto"/>
            <w:right w:val="none" w:sz="0" w:space="0" w:color="auto"/>
          </w:divBdr>
          <w:divsChild>
            <w:div w:id="1365327601">
              <w:marLeft w:val="0"/>
              <w:marRight w:val="0"/>
              <w:marTop w:val="0"/>
              <w:marBottom w:val="0"/>
              <w:divBdr>
                <w:top w:val="none" w:sz="0" w:space="0" w:color="auto"/>
                <w:left w:val="none" w:sz="0" w:space="0" w:color="auto"/>
                <w:bottom w:val="none" w:sz="0" w:space="0" w:color="auto"/>
                <w:right w:val="none" w:sz="0" w:space="0" w:color="auto"/>
              </w:divBdr>
              <w:divsChild>
                <w:div w:id="1850681409">
                  <w:marLeft w:val="0"/>
                  <w:marRight w:val="0"/>
                  <w:marTop w:val="150"/>
                  <w:marBottom w:val="0"/>
                  <w:divBdr>
                    <w:top w:val="none" w:sz="0" w:space="0" w:color="auto"/>
                    <w:left w:val="none" w:sz="0" w:space="0" w:color="auto"/>
                    <w:bottom w:val="none" w:sz="0" w:space="0" w:color="auto"/>
                    <w:right w:val="none" w:sz="0" w:space="0" w:color="auto"/>
                  </w:divBdr>
                  <w:divsChild>
                    <w:div w:id="707796516">
                      <w:marLeft w:val="0"/>
                      <w:marRight w:val="0"/>
                      <w:marTop w:val="0"/>
                      <w:marBottom w:val="0"/>
                      <w:divBdr>
                        <w:top w:val="none" w:sz="0" w:space="0" w:color="auto"/>
                        <w:left w:val="none" w:sz="0" w:space="0" w:color="auto"/>
                        <w:bottom w:val="none" w:sz="0" w:space="0" w:color="auto"/>
                        <w:right w:val="none" w:sz="0" w:space="0" w:color="auto"/>
                      </w:divBdr>
                      <w:divsChild>
                        <w:div w:id="1631550313">
                          <w:marLeft w:val="0"/>
                          <w:marRight w:val="0"/>
                          <w:marTop w:val="0"/>
                          <w:marBottom w:val="0"/>
                          <w:divBdr>
                            <w:top w:val="none" w:sz="0" w:space="0" w:color="auto"/>
                            <w:left w:val="none" w:sz="0" w:space="0" w:color="auto"/>
                            <w:bottom w:val="none" w:sz="0" w:space="0" w:color="auto"/>
                            <w:right w:val="none" w:sz="0" w:space="0" w:color="auto"/>
                          </w:divBdr>
                          <w:divsChild>
                            <w:div w:id="683440142">
                              <w:marLeft w:val="0"/>
                              <w:marRight w:val="0"/>
                              <w:marTop w:val="0"/>
                              <w:marBottom w:val="0"/>
                              <w:divBdr>
                                <w:top w:val="none" w:sz="0" w:space="0" w:color="auto"/>
                                <w:left w:val="none" w:sz="0" w:space="0" w:color="auto"/>
                                <w:bottom w:val="none" w:sz="0" w:space="0" w:color="auto"/>
                                <w:right w:val="none" w:sz="0" w:space="0" w:color="auto"/>
                              </w:divBdr>
                              <w:divsChild>
                                <w:div w:id="1070736451">
                                  <w:marLeft w:val="0"/>
                                  <w:marRight w:val="0"/>
                                  <w:marTop w:val="0"/>
                                  <w:marBottom w:val="0"/>
                                  <w:divBdr>
                                    <w:top w:val="none" w:sz="0" w:space="0" w:color="auto"/>
                                    <w:left w:val="none" w:sz="0" w:space="0" w:color="auto"/>
                                    <w:bottom w:val="none" w:sz="0" w:space="0" w:color="auto"/>
                                    <w:right w:val="none" w:sz="0" w:space="0" w:color="auto"/>
                                  </w:divBdr>
                                  <w:divsChild>
                                    <w:div w:id="156698683">
                                      <w:marLeft w:val="0"/>
                                      <w:marRight w:val="0"/>
                                      <w:marTop w:val="0"/>
                                      <w:marBottom w:val="0"/>
                                      <w:divBdr>
                                        <w:top w:val="single" w:sz="36" w:space="0" w:color="C0B3DC"/>
                                        <w:left w:val="none" w:sz="0" w:space="0" w:color="auto"/>
                                        <w:bottom w:val="none" w:sz="0" w:space="0" w:color="auto"/>
                                        <w:right w:val="none" w:sz="0" w:space="0" w:color="auto"/>
                                      </w:divBdr>
                                      <w:divsChild>
                                        <w:div w:id="5175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842287">
      <w:bodyDiv w:val="1"/>
      <w:marLeft w:val="0"/>
      <w:marRight w:val="0"/>
      <w:marTop w:val="0"/>
      <w:marBottom w:val="0"/>
      <w:divBdr>
        <w:top w:val="none" w:sz="0" w:space="0" w:color="auto"/>
        <w:left w:val="none" w:sz="0" w:space="0" w:color="auto"/>
        <w:bottom w:val="none" w:sz="0" w:space="0" w:color="auto"/>
        <w:right w:val="none" w:sz="0" w:space="0" w:color="auto"/>
      </w:divBdr>
      <w:divsChild>
        <w:div w:id="160582747">
          <w:marLeft w:val="0"/>
          <w:marRight w:val="0"/>
          <w:marTop w:val="0"/>
          <w:marBottom w:val="0"/>
          <w:divBdr>
            <w:top w:val="none" w:sz="0" w:space="0" w:color="auto"/>
            <w:left w:val="none" w:sz="0" w:space="0" w:color="auto"/>
            <w:bottom w:val="none" w:sz="0" w:space="0" w:color="auto"/>
            <w:right w:val="none" w:sz="0" w:space="0" w:color="auto"/>
          </w:divBdr>
          <w:divsChild>
            <w:div w:id="2107917070">
              <w:marLeft w:val="0"/>
              <w:marRight w:val="0"/>
              <w:marTop w:val="0"/>
              <w:marBottom w:val="0"/>
              <w:divBdr>
                <w:top w:val="none" w:sz="0" w:space="0" w:color="auto"/>
                <w:left w:val="none" w:sz="0" w:space="0" w:color="auto"/>
                <w:bottom w:val="none" w:sz="0" w:space="0" w:color="auto"/>
                <w:right w:val="none" w:sz="0" w:space="0" w:color="auto"/>
              </w:divBdr>
              <w:divsChild>
                <w:div w:id="1010790334">
                  <w:marLeft w:val="0"/>
                  <w:marRight w:val="0"/>
                  <w:marTop w:val="0"/>
                  <w:marBottom w:val="0"/>
                  <w:divBdr>
                    <w:top w:val="none" w:sz="0" w:space="0" w:color="auto"/>
                    <w:left w:val="none" w:sz="0" w:space="0" w:color="auto"/>
                    <w:bottom w:val="none" w:sz="0" w:space="0" w:color="auto"/>
                    <w:right w:val="none" w:sz="0" w:space="0" w:color="auto"/>
                  </w:divBdr>
                  <w:divsChild>
                    <w:div w:id="895434838">
                      <w:marLeft w:val="0"/>
                      <w:marRight w:val="0"/>
                      <w:marTop w:val="0"/>
                      <w:marBottom w:val="0"/>
                      <w:divBdr>
                        <w:top w:val="none" w:sz="0" w:space="0" w:color="auto"/>
                        <w:left w:val="none" w:sz="0" w:space="0" w:color="auto"/>
                        <w:bottom w:val="none" w:sz="0" w:space="0" w:color="auto"/>
                        <w:right w:val="none" w:sz="0" w:space="0" w:color="auto"/>
                      </w:divBdr>
                      <w:divsChild>
                        <w:div w:id="1648392952">
                          <w:marLeft w:val="0"/>
                          <w:marRight w:val="0"/>
                          <w:marTop w:val="0"/>
                          <w:marBottom w:val="0"/>
                          <w:divBdr>
                            <w:top w:val="none" w:sz="0" w:space="0" w:color="auto"/>
                            <w:left w:val="none" w:sz="0" w:space="0" w:color="auto"/>
                            <w:bottom w:val="none" w:sz="0" w:space="0" w:color="auto"/>
                            <w:right w:val="none" w:sz="0" w:space="0" w:color="auto"/>
                          </w:divBdr>
                          <w:divsChild>
                            <w:div w:id="1223637993">
                              <w:marLeft w:val="0"/>
                              <w:marRight w:val="0"/>
                              <w:marTop w:val="0"/>
                              <w:marBottom w:val="0"/>
                              <w:divBdr>
                                <w:top w:val="none" w:sz="0" w:space="0" w:color="auto"/>
                                <w:left w:val="none" w:sz="0" w:space="0" w:color="auto"/>
                                <w:bottom w:val="none" w:sz="0" w:space="0" w:color="auto"/>
                                <w:right w:val="none" w:sz="0" w:space="0" w:color="auto"/>
                              </w:divBdr>
                              <w:divsChild>
                                <w:div w:id="70977495">
                                  <w:marLeft w:val="0"/>
                                  <w:marRight w:val="0"/>
                                  <w:marTop w:val="0"/>
                                  <w:marBottom w:val="0"/>
                                  <w:divBdr>
                                    <w:top w:val="none" w:sz="0" w:space="0" w:color="auto"/>
                                    <w:left w:val="none" w:sz="0" w:space="0" w:color="auto"/>
                                    <w:bottom w:val="none" w:sz="0" w:space="0" w:color="auto"/>
                                    <w:right w:val="none" w:sz="0" w:space="0" w:color="auto"/>
                                  </w:divBdr>
                                  <w:divsChild>
                                    <w:div w:id="1736320930">
                                      <w:marLeft w:val="0"/>
                                      <w:marRight w:val="0"/>
                                      <w:marTop w:val="0"/>
                                      <w:marBottom w:val="0"/>
                                      <w:divBdr>
                                        <w:top w:val="none" w:sz="0" w:space="0" w:color="auto"/>
                                        <w:left w:val="none" w:sz="0" w:space="0" w:color="auto"/>
                                        <w:bottom w:val="none" w:sz="0" w:space="0" w:color="auto"/>
                                        <w:right w:val="none" w:sz="0" w:space="0" w:color="auto"/>
                                      </w:divBdr>
                                      <w:divsChild>
                                        <w:div w:id="147402241">
                                          <w:marLeft w:val="0"/>
                                          <w:marRight w:val="0"/>
                                          <w:marTop w:val="0"/>
                                          <w:marBottom w:val="0"/>
                                          <w:divBdr>
                                            <w:top w:val="none" w:sz="0" w:space="0" w:color="auto"/>
                                            <w:left w:val="none" w:sz="0" w:space="0" w:color="auto"/>
                                            <w:bottom w:val="none" w:sz="0" w:space="0" w:color="auto"/>
                                            <w:right w:val="none" w:sz="0" w:space="0" w:color="auto"/>
                                          </w:divBdr>
                                          <w:divsChild>
                                            <w:div w:id="1644040961">
                                              <w:marLeft w:val="0"/>
                                              <w:marRight w:val="0"/>
                                              <w:marTop w:val="0"/>
                                              <w:marBottom w:val="0"/>
                                              <w:divBdr>
                                                <w:top w:val="none" w:sz="0" w:space="0" w:color="auto"/>
                                                <w:left w:val="none" w:sz="0" w:space="0" w:color="auto"/>
                                                <w:bottom w:val="none" w:sz="0" w:space="0" w:color="auto"/>
                                                <w:right w:val="none" w:sz="0" w:space="0" w:color="auto"/>
                                              </w:divBdr>
                                              <w:divsChild>
                                                <w:div w:id="1203250404">
                                                  <w:marLeft w:val="0"/>
                                                  <w:marRight w:val="0"/>
                                                  <w:marTop w:val="0"/>
                                                  <w:marBottom w:val="0"/>
                                                  <w:divBdr>
                                                    <w:top w:val="none" w:sz="0" w:space="0" w:color="auto"/>
                                                    <w:left w:val="none" w:sz="0" w:space="0" w:color="auto"/>
                                                    <w:bottom w:val="none" w:sz="0" w:space="0" w:color="auto"/>
                                                    <w:right w:val="none" w:sz="0" w:space="0" w:color="auto"/>
                                                  </w:divBdr>
                                                  <w:divsChild>
                                                    <w:div w:id="1279022014">
                                                      <w:marLeft w:val="0"/>
                                                      <w:marRight w:val="0"/>
                                                      <w:marTop w:val="0"/>
                                                      <w:marBottom w:val="0"/>
                                                      <w:divBdr>
                                                        <w:top w:val="none" w:sz="0" w:space="0" w:color="auto"/>
                                                        <w:left w:val="none" w:sz="0" w:space="0" w:color="auto"/>
                                                        <w:bottom w:val="none" w:sz="0" w:space="0" w:color="auto"/>
                                                        <w:right w:val="none" w:sz="0" w:space="0" w:color="auto"/>
                                                      </w:divBdr>
                                                      <w:divsChild>
                                                        <w:div w:id="248271593">
                                                          <w:marLeft w:val="0"/>
                                                          <w:marRight w:val="0"/>
                                                          <w:marTop w:val="0"/>
                                                          <w:marBottom w:val="0"/>
                                                          <w:divBdr>
                                                            <w:top w:val="none" w:sz="0" w:space="0" w:color="auto"/>
                                                            <w:left w:val="none" w:sz="0" w:space="0" w:color="auto"/>
                                                            <w:bottom w:val="none" w:sz="0" w:space="0" w:color="auto"/>
                                                            <w:right w:val="none" w:sz="0" w:space="0" w:color="auto"/>
                                                          </w:divBdr>
                                                          <w:divsChild>
                                                            <w:div w:id="208880872">
                                                              <w:marLeft w:val="0"/>
                                                              <w:marRight w:val="0"/>
                                                              <w:marTop w:val="0"/>
                                                              <w:marBottom w:val="0"/>
                                                              <w:divBdr>
                                                                <w:top w:val="none" w:sz="0" w:space="0" w:color="auto"/>
                                                                <w:left w:val="none" w:sz="0" w:space="0" w:color="auto"/>
                                                                <w:bottom w:val="none" w:sz="0" w:space="0" w:color="auto"/>
                                                                <w:right w:val="none" w:sz="0" w:space="0" w:color="auto"/>
                                                              </w:divBdr>
                                                              <w:divsChild>
                                                                <w:div w:id="1935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137952">
      <w:bodyDiv w:val="1"/>
      <w:marLeft w:val="0"/>
      <w:marRight w:val="0"/>
      <w:marTop w:val="0"/>
      <w:marBottom w:val="0"/>
      <w:divBdr>
        <w:top w:val="none" w:sz="0" w:space="0" w:color="auto"/>
        <w:left w:val="none" w:sz="0" w:space="0" w:color="auto"/>
        <w:bottom w:val="none" w:sz="0" w:space="0" w:color="auto"/>
        <w:right w:val="none" w:sz="0" w:space="0" w:color="auto"/>
      </w:divBdr>
    </w:div>
    <w:div w:id="2013483558">
      <w:bodyDiv w:val="1"/>
      <w:marLeft w:val="0"/>
      <w:marRight w:val="0"/>
      <w:marTop w:val="0"/>
      <w:marBottom w:val="0"/>
      <w:divBdr>
        <w:top w:val="none" w:sz="0" w:space="0" w:color="auto"/>
        <w:left w:val="none" w:sz="0" w:space="0" w:color="auto"/>
        <w:bottom w:val="none" w:sz="0" w:space="0" w:color="auto"/>
        <w:right w:val="none" w:sz="0" w:space="0" w:color="auto"/>
      </w:divBdr>
    </w:div>
    <w:div w:id="2118980076">
      <w:bodyDiv w:val="1"/>
      <w:marLeft w:val="0"/>
      <w:marRight w:val="0"/>
      <w:marTop w:val="0"/>
      <w:marBottom w:val="0"/>
      <w:divBdr>
        <w:top w:val="none" w:sz="0" w:space="0" w:color="auto"/>
        <w:left w:val="none" w:sz="0" w:space="0" w:color="auto"/>
        <w:bottom w:val="none" w:sz="0" w:space="0" w:color="auto"/>
        <w:right w:val="none" w:sz="0" w:space="0" w:color="auto"/>
      </w:divBdr>
      <w:divsChild>
        <w:div w:id="1662124402">
          <w:marLeft w:val="0"/>
          <w:marRight w:val="0"/>
          <w:marTop w:val="0"/>
          <w:marBottom w:val="0"/>
          <w:divBdr>
            <w:top w:val="none" w:sz="0" w:space="0" w:color="auto"/>
            <w:left w:val="none" w:sz="0" w:space="0" w:color="auto"/>
            <w:bottom w:val="none" w:sz="0" w:space="0" w:color="auto"/>
            <w:right w:val="none" w:sz="0" w:space="0" w:color="auto"/>
          </w:divBdr>
          <w:divsChild>
            <w:div w:id="509680774">
              <w:marLeft w:val="450"/>
              <w:marRight w:val="900"/>
              <w:marTop w:val="450"/>
              <w:marBottom w:val="450"/>
              <w:divBdr>
                <w:top w:val="none" w:sz="0" w:space="0" w:color="auto"/>
                <w:left w:val="none" w:sz="0" w:space="0" w:color="auto"/>
                <w:bottom w:val="none" w:sz="0" w:space="0" w:color="auto"/>
                <w:right w:val="none" w:sz="0" w:space="0" w:color="auto"/>
              </w:divBdr>
              <w:divsChild>
                <w:div w:id="301739642">
                  <w:marLeft w:val="0"/>
                  <w:marRight w:val="0"/>
                  <w:marTop w:val="0"/>
                  <w:marBottom w:val="0"/>
                  <w:divBdr>
                    <w:top w:val="none" w:sz="0" w:space="0" w:color="auto"/>
                    <w:left w:val="none" w:sz="0" w:space="0" w:color="auto"/>
                    <w:bottom w:val="none" w:sz="0" w:space="0" w:color="auto"/>
                    <w:right w:val="none" w:sz="0" w:space="0" w:color="auto"/>
                  </w:divBdr>
                  <w:divsChild>
                    <w:div w:id="9434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dc.gov/malaria/resources/pdf/treatmenttable.pdf" TargetMode="External"/><Relationship Id="rId18" Type="http://schemas.openxmlformats.org/officeDocument/2006/relationships/hyperlink" Target="http://www.cdc.gov/malaria/resources/pdf/algorithm.pdf" TargetMode="External"/><Relationship Id="rId26" Type="http://schemas.openxmlformats.org/officeDocument/2006/relationships/hyperlink" Target="http://www.accessdata.fda.gov/drugsatfda_docs/nda/2002/021078_S003_MALARONE%20TABLETS_MEDR.pdf" TargetMode="External"/><Relationship Id="rId21" Type="http://schemas.openxmlformats.org/officeDocument/2006/relationships/hyperlink" Target="http://www.fda.gov/drugs/drugsafety/ucm362227.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c.gov/malaria/map/index.html" TargetMode="External"/><Relationship Id="rId17" Type="http://schemas.openxmlformats.org/officeDocument/2006/relationships/hyperlink" Target="http://www.cdc.gov/malaria/diagnosis_treatment/treatment.html" TargetMode="External"/><Relationship Id="rId25" Type="http://schemas.openxmlformats.org/officeDocument/2006/relationships/hyperlink" Target="http://www.accessdata.fda.gov/drugsatfda_docs/nda/2000/21-078_Malarone_Statr.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malaria/travelers/drugs.html" TargetMode="External"/><Relationship Id="rId20" Type="http://schemas.openxmlformats.org/officeDocument/2006/relationships/hyperlink" Target="http://www.cdc.gov/malaria/diagnosis_treatment/treatment.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malaria/travelers/country_table/a.html" TargetMode="External"/><Relationship Id="rId24" Type="http://schemas.openxmlformats.org/officeDocument/2006/relationships/hyperlink" Target="http://aidsinfo.nih.gov/guidelines.%20Accessed%20on%2003/07/2014" TargetMode="External"/><Relationship Id="rId32" Type="http://schemas.openxmlformats.org/officeDocument/2006/relationships/header" Target="header4.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fda.gov/drugs/drugsafety/ucm362227.htm" TargetMode="External"/><Relationship Id="rId23" Type="http://schemas.openxmlformats.org/officeDocument/2006/relationships/hyperlink" Target="http://aidsinfo.nih.gov/guidelines/html/1/adult-and-adolescent-arv-guidelines/0/" TargetMode="External"/><Relationship Id="rId28" Type="http://schemas.openxmlformats.org/officeDocument/2006/relationships/footer" Target="footer1.xml"/><Relationship Id="rId36" Type="http://schemas.openxmlformats.org/officeDocument/2006/relationships/customXml" Target="../customXml/item3.xml"/><Relationship Id="rId10" Type="http://schemas.openxmlformats.org/officeDocument/2006/relationships/hyperlink" Target="http://www.cdc.gov/malaria/resources/pdf/treatmenttable.pdf" TargetMode="External"/><Relationship Id="rId19" Type="http://schemas.openxmlformats.org/officeDocument/2006/relationships/hyperlink" Target="http://www.cdc.gov/malaria/about/biology/mosquitoes/"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nc.cdc.gov/travel/destinations/list" TargetMode="External"/><Relationship Id="rId14" Type="http://schemas.openxmlformats.org/officeDocument/2006/relationships/hyperlink" Target="http://vaww.national.cmop.va.gov/PBM/Directives%20Policies%20and%20Information%20Letters/Guidance%20on%20Off%20Label%20Prescribing.pdf" TargetMode="External"/><Relationship Id="rId22" Type="http://schemas.openxmlformats.org/officeDocument/2006/relationships/hyperlink" Target="http://www.accessdata.fda.gov/drugsatfda_docs/nda/2000/021078_malarone.cfm"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s://vaww.cmopnational.va.gov/cmop/PBM/default.aspx" TargetMode="External"/><Relationship Id="rId1" Type="http://schemas.openxmlformats.org/officeDocument/2006/relationships/hyperlink" Target="http://www.pb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220ED0BA549147B67B93624EC38BE2" ma:contentTypeVersion="1" ma:contentTypeDescription="Create a new document." ma:contentTypeScope="" ma:versionID="b11ac1f38211a3099184790f2c9a42aa">
  <xsd:schema xmlns:xsd="http://www.w3.org/2001/XMLSchema" xmlns:xs="http://www.w3.org/2001/XMLSchema" xmlns:p="http://schemas.microsoft.com/office/2006/metadata/properties" xmlns:ns1="http://schemas.microsoft.com/sharepoint/v3" targetNamespace="http://schemas.microsoft.com/office/2006/metadata/properties" ma:root="true" ma:fieldsID="341e375015c50f2ed44184d8d0dcf8ad"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fals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fals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0x0101007D220ED0BA549147B67B93624EC38BE2</ContentTypeId>
    <TemplateUrl xmlns="http://schemas.microsoft.com/sharepoint/v3" xsi:nil="true"/>
    <_SourceUrl xmlns="http://schemas.microsoft.com/sharepoint/v3" xsi:nil="true"/>
    <Created_x0020_Date xmlns="http://schemas.microsoft.com/sharepoint/v3" xsi:nil="true"/>
    <_HasCopyDestinations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3202BA15-75A7-43D1-9007-EF536238B399}"/>
</file>

<file path=customXml/itemProps2.xml><?xml version="1.0" encoding="utf-8"?>
<ds:datastoreItem xmlns:ds="http://schemas.openxmlformats.org/officeDocument/2006/customXml" ds:itemID="{8A96531D-8291-4FAD-B014-31FFE8AD3624}"/>
</file>

<file path=customXml/itemProps3.xml><?xml version="1.0" encoding="utf-8"?>
<ds:datastoreItem xmlns:ds="http://schemas.openxmlformats.org/officeDocument/2006/customXml" ds:itemID="{C5A1FF7D-9F9D-46E7-A798-81EBFD08F446}"/>
</file>

<file path=customXml/itemProps4.xml><?xml version="1.0" encoding="utf-8"?>
<ds:datastoreItem xmlns:ds="http://schemas.openxmlformats.org/officeDocument/2006/customXml" ds:itemID="{31161F83-1F27-4D87-A4E0-904D718928AA}"/>
</file>

<file path=docProps/app.xml><?xml version="1.0" encoding="utf-8"?>
<Properties xmlns="http://schemas.openxmlformats.org/officeDocument/2006/extended-properties" xmlns:vt="http://schemas.openxmlformats.org/officeDocument/2006/docPropsVTypes">
  <Template>Normal</Template>
  <TotalTime>10</TotalTime>
  <Pages>12</Pages>
  <Words>5150</Words>
  <Characters>33782</Characters>
  <Application>Microsoft Office Word</Application>
  <DocSecurity>0</DocSecurity>
  <Lines>281</Lines>
  <Paragraphs>77</Paragraphs>
  <ScaleCrop>false</ScaleCrop>
  <HeadingPairs>
    <vt:vector size="2" baseType="variant">
      <vt:variant>
        <vt:lpstr>Title</vt:lpstr>
      </vt:variant>
      <vt:variant>
        <vt:i4>1</vt:i4>
      </vt:variant>
    </vt:vector>
  </HeadingPairs>
  <TitlesOfParts>
    <vt:vector size="1" baseType="lpstr">
      <vt:lpstr/>
    </vt:vector>
  </TitlesOfParts>
  <Company>VHA PBM SHG</Company>
  <LinksUpToDate>false</LinksUpToDate>
  <CharactersWithSpaces>38855</CharactersWithSpaces>
  <SharedDoc>false</SharedDoc>
  <HLinks>
    <vt:vector size="42" baseType="variant">
      <vt:variant>
        <vt:i4>917506</vt:i4>
      </vt:variant>
      <vt:variant>
        <vt:i4>6</vt:i4>
      </vt:variant>
      <vt:variant>
        <vt:i4>0</vt:i4>
      </vt:variant>
      <vt:variant>
        <vt:i4>5</vt:i4>
      </vt:variant>
      <vt:variant>
        <vt:lpwstr>http://wwwnc.cdc.gov/travel/destinations/list</vt:lpwstr>
      </vt:variant>
      <vt:variant>
        <vt:lpwstr/>
      </vt:variant>
      <vt:variant>
        <vt:i4>3801213</vt:i4>
      </vt:variant>
      <vt:variant>
        <vt:i4>3</vt:i4>
      </vt:variant>
      <vt:variant>
        <vt:i4>0</vt:i4>
      </vt:variant>
      <vt:variant>
        <vt:i4>5</vt:i4>
      </vt:variant>
      <vt:variant>
        <vt:lpwstr>http://vaww.national.cmop.va.gov/PBM/Directives Policies and Information Letters/Guidance on Off Label Prescribing.pdf</vt:lpwstr>
      </vt:variant>
      <vt:variant>
        <vt:lpwstr/>
      </vt:variant>
      <vt:variant>
        <vt:i4>3670069</vt:i4>
      </vt:variant>
      <vt:variant>
        <vt:i4>0</vt:i4>
      </vt:variant>
      <vt:variant>
        <vt:i4>0</vt:i4>
      </vt:variant>
      <vt:variant>
        <vt:i4>5</vt:i4>
      </vt:variant>
      <vt:variant>
        <vt:lpwstr>http://vaww.pbm.va.gov/</vt:lpwstr>
      </vt:variant>
      <vt:variant>
        <vt:lpwstr/>
      </vt:variant>
      <vt:variant>
        <vt:i4>3014764</vt:i4>
      </vt:variant>
      <vt:variant>
        <vt:i4>15</vt:i4>
      </vt:variant>
      <vt:variant>
        <vt:i4>0</vt:i4>
      </vt:variant>
      <vt:variant>
        <vt:i4>5</vt:i4>
      </vt:variant>
      <vt:variant>
        <vt:lpwstr>http://www.pbm.va.gov/</vt:lpwstr>
      </vt:variant>
      <vt:variant>
        <vt:lpwstr/>
      </vt:variant>
      <vt:variant>
        <vt:i4>3014764</vt:i4>
      </vt:variant>
      <vt:variant>
        <vt:i4>9</vt:i4>
      </vt:variant>
      <vt:variant>
        <vt:i4>0</vt:i4>
      </vt:variant>
      <vt:variant>
        <vt:i4>5</vt:i4>
      </vt:variant>
      <vt:variant>
        <vt:lpwstr>http://www.pbm.va.gov/</vt:lpwstr>
      </vt:variant>
      <vt:variant>
        <vt:lpwstr/>
      </vt:variant>
      <vt:variant>
        <vt:i4>6422642</vt:i4>
      </vt:variant>
      <vt:variant>
        <vt:i4>3</vt:i4>
      </vt:variant>
      <vt:variant>
        <vt:i4>0</vt:i4>
      </vt:variant>
      <vt:variant>
        <vt:i4>5</vt:i4>
      </vt:variant>
      <vt:variant>
        <vt:lpwstr>https://vaww.cmopnational.va.gov/cmop/PBM/default.aspx</vt:lpwstr>
      </vt:variant>
      <vt:variant>
        <vt:lpwstr/>
      </vt:variant>
      <vt:variant>
        <vt:i4>3014764</vt:i4>
      </vt:variant>
      <vt:variant>
        <vt:i4>0</vt:i4>
      </vt:variant>
      <vt:variant>
        <vt:i4>0</vt:i4>
      </vt:variant>
      <vt:variant>
        <vt:i4>5</vt:i4>
      </vt:variant>
      <vt:variant>
        <vt:lpwstr>http://www.pbm.va.gov/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dc:creator>
  <cp:lastModifiedBy>Neuhauser, Melinda</cp:lastModifiedBy>
  <cp:revision>4</cp:revision>
  <cp:lastPrinted>2014-04-30T15:04:00Z</cp:lastPrinted>
  <dcterms:created xsi:type="dcterms:W3CDTF">2014-05-21T21:48:00Z</dcterms:created>
  <dcterms:modified xsi:type="dcterms:W3CDTF">2014-05-27T20:40:00Z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