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4D" w:rsidRDefault="004C7A4A" w:rsidP="00C0294D">
      <w:pPr>
        <w:pStyle w:val="Subtitle"/>
        <w:pBdr>
          <w:top w:val="single" w:sz="4" w:space="8" w:color="auto"/>
          <w:bottom w:val="single" w:sz="4" w:space="8" w:color="auto"/>
        </w:pBdr>
        <w:shd w:val="clear" w:color="auto" w:fill="E0E0E0"/>
        <w:spacing w:before="40" w:after="40"/>
        <w:rPr>
          <w:sz w:val="28"/>
        </w:rPr>
      </w:pPr>
      <w:r>
        <w:rPr>
          <w:sz w:val="28"/>
        </w:rPr>
        <w:t>Linaclotide</w:t>
      </w:r>
      <w:r w:rsidR="00C0294D">
        <w:rPr>
          <w:sz w:val="28"/>
        </w:rPr>
        <w:t xml:space="preserve"> </w:t>
      </w:r>
      <w:r w:rsidR="00C06B3C">
        <w:rPr>
          <w:sz w:val="28"/>
        </w:rPr>
        <w:t xml:space="preserve">Capsules </w:t>
      </w:r>
      <w:r w:rsidR="00C0294D">
        <w:rPr>
          <w:sz w:val="28"/>
        </w:rPr>
        <w:t>(</w:t>
      </w:r>
      <w:r w:rsidR="00C06B3C">
        <w:rPr>
          <w:sz w:val="28"/>
        </w:rPr>
        <w:t>LINZESS</w:t>
      </w:r>
      <w:r w:rsidR="00C0294D">
        <w:rPr>
          <w:sz w:val="28"/>
        </w:rPr>
        <w:t>)</w:t>
      </w:r>
    </w:p>
    <w:p w:rsidR="00537E8D" w:rsidRDefault="00537E8D">
      <w:pPr>
        <w:pStyle w:val="Title"/>
        <w:pBdr>
          <w:top w:val="single" w:sz="4" w:space="8" w:color="auto"/>
          <w:bottom w:val="single" w:sz="4" w:space="8" w:color="auto"/>
        </w:pBdr>
        <w:shd w:val="clear" w:color="auto" w:fill="E0E0E0"/>
        <w:spacing w:before="40" w:after="40"/>
      </w:pPr>
      <w:r>
        <w:t>National Drug Monograph</w:t>
      </w:r>
    </w:p>
    <w:p w:rsidR="00537E8D" w:rsidRDefault="00DF1FFC">
      <w:pPr>
        <w:pStyle w:val="Subtitle"/>
        <w:pBdr>
          <w:top w:val="single" w:sz="4" w:space="8" w:color="auto"/>
          <w:bottom w:val="single" w:sz="4" w:space="8" w:color="auto"/>
        </w:pBdr>
        <w:shd w:val="clear" w:color="auto" w:fill="E0E0E0"/>
        <w:spacing w:before="40" w:after="40"/>
      </w:pPr>
      <w:r>
        <w:t>January 2014</w:t>
      </w:r>
    </w:p>
    <w:p w:rsidR="00537E8D" w:rsidRDefault="00537E8D">
      <w:pPr>
        <w:pStyle w:val="Subtitle"/>
        <w:pBdr>
          <w:top w:val="single" w:sz="4" w:space="8" w:color="auto"/>
          <w:bottom w:val="single" w:sz="4" w:space="8" w:color="auto"/>
        </w:pBdr>
        <w:shd w:val="clear" w:color="auto" w:fill="E0E0E0"/>
        <w:spacing w:before="40" w:after="40"/>
      </w:pPr>
      <w:r>
        <w:rPr>
          <w:sz w:val="18"/>
        </w:rPr>
        <w:t xml:space="preserve">VA Pharmacy Benefits Management </w:t>
      </w:r>
      <w:r w:rsidR="006026D5">
        <w:rPr>
          <w:sz w:val="18"/>
        </w:rPr>
        <w:t>Service</w:t>
      </w:r>
      <w:r w:rsidR="00FC2386">
        <w:rPr>
          <w:sz w:val="18"/>
        </w:rPr>
        <w:t>s,</w:t>
      </w:r>
      <w:r>
        <w:rPr>
          <w:sz w:val="18"/>
        </w:rPr>
        <w:t xml:space="preserve"> </w:t>
      </w:r>
      <w:r w:rsidR="00FC2386">
        <w:rPr>
          <w:sz w:val="18"/>
        </w:rPr>
        <w:br/>
      </w:r>
      <w:r>
        <w:rPr>
          <w:sz w:val="18"/>
        </w:rPr>
        <w:t>Medical Advisory Panel</w:t>
      </w:r>
      <w:r w:rsidR="00FC2386">
        <w:rPr>
          <w:sz w:val="18"/>
        </w:rPr>
        <w:t>, and VISN Pharmacist Executives</w:t>
      </w:r>
    </w:p>
    <w:p w:rsidR="00937B26" w:rsidRPr="00937B26" w:rsidRDefault="00937B26" w:rsidP="00937B26">
      <w:pPr>
        <w:pStyle w:val="NormalWeb"/>
        <w:rPr>
          <w:sz w:val="18"/>
          <w:szCs w:val="18"/>
        </w:rPr>
      </w:pPr>
      <w:r w:rsidRPr="00937B26">
        <w:rPr>
          <w:i/>
          <w:iCs/>
          <w:sz w:val="18"/>
          <w:szCs w:val="18"/>
        </w:rPr>
        <w:t>The purpose of VA PBM</w:t>
      </w:r>
      <w:r w:rsidR="00FC2386">
        <w:rPr>
          <w:i/>
          <w:iCs/>
          <w:sz w:val="18"/>
          <w:szCs w:val="18"/>
        </w:rPr>
        <w:t xml:space="preserve"> Services</w:t>
      </w:r>
      <w:r w:rsidRPr="00937B26">
        <w:rPr>
          <w:i/>
          <w:iCs/>
          <w:sz w:val="18"/>
          <w:szCs w:val="18"/>
        </w:rPr>
        <w:t xml:space="preserve"> drug monographs is to provide a comprehensive drug review for making formulary decisions. These documents will be updated when new </w:t>
      </w:r>
      <w:r w:rsidR="003C4333">
        <w:rPr>
          <w:i/>
          <w:iCs/>
          <w:sz w:val="18"/>
          <w:szCs w:val="18"/>
        </w:rPr>
        <w:t xml:space="preserve">clinical </w:t>
      </w:r>
      <w:r w:rsidRPr="00937B26">
        <w:rPr>
          <w:i/>
          <w:iCs/>
          <w:sz w:val="18"/>
          <w:szCs w:val="18"/>
        </w:rPr>
        <w:t>data warrant additional formulary discussion. Documents will be placed in the Archive section when the information is deemed to be no longer current.</w:t>
      </w:r>
    </w:p>
    <w:p w:rsidR="00537E8D" w:rsidRDefault="00537E8D">
      <w:pPr>
        <w:pStyle w:val="Subtitle"/>
      </w:pPr>
    </w:p>
    <w:p w:rsidR="00537E8D" w:rsidRDefault="00537E8D">
      <w:pPr>
        <w:pStyle w:val="Heading1"/>
      </w:pPr>
      <w:bookmarkStart w:id="0" w:name="_Ref80503453"/>
      <w:r>
        <w:t>Executive Summary:</w:t>
      </w:r>
      <w:bookmarkEnd w:id="0"/>
      <w:r>
        <w:t xml:space="preserve">  </w:t>
      </w:r>
    </w:p>
    <w:p w:rsidR="00FE78B9" w:rsidRDefault="00FE78B9" w:rsidP="00F4599E">
      <w:pPr>
        <w:pStyle w:val="ListBullet2"/>
        <w:tabs>
          <w:tab w:val="clear" w:pos="720"/>
          <w:tab w:val="num" w:pos="360"/>
        </w:tabs>
        <w:ind w:left="360"/>
      </w:pPr>
      <w:proofErr w:type="spellStart"/>
      <w:r>
        <w:t>Linaclotide</w:t>
      </w:r>
      <w:proofErr w:type="spellEnd"/>
      <w:r>
        <w:t xml:space="preserve"> is a </w:t>
      </w:r>
      <w:proofErr w:type="spellStart"/>
      <w:r>
        <w:t>guanylate</w:t>
      </w:r>
      <w:proofErr w:type="spellEnd"/>
      <w:r>
        <w:t xml:space="preserve"> </w:t>
      </w:r>
      <w:proofErr w:type="spellStart"/>
      <w:r>
        <w:t>cyclase</w:t>
      </w:r>
      <w:proofErr w:type="spellEnd"/>
      <w:r>
        <w:t>-C agonist</w:t>
      </w:r>
      <w:r w:rsidR="00F4599E">
        <w:t xml:space="preserve"> that was FDA-</w:t>
      </w:r>
      <w:r w:rsidR="00C06B3C">
        <w:t>a</w:t>
      </w:r>
      <w:r>
        <w:t>pproved in</w:t>
      </w:r>
      <w:r w:rsidR="00F4599E">
        <w:t xml:space="preserve"> adults for the treatment of</w:t>
      </w:r>
      <w:r>
        <w:t xml:space="preserve"> chronic idiopathic constipation and irritable bowel syndrome characterized by constipation. </w:t>
      </w:r>
    </w:p>
    <w:p w:rsidR="00FE78B9" w:rsidRDefault="00C06B3C" w:rsidP="00F4599E">
      <w:pPr>
        <w:pStyle w:val="ListBullet2"/>
        <w:tabs>
          <w:tab w:val="clear" w:pos="720"/>
          <w:tab w:val="num" w:pos="360"/>
        </w:tabs>
        <w:ind w:left="360"/>
      </w:pPr>
      <w:r>
        <w:t>The d</w:t>
      </w:r>
      <w:r w:rsidR="00FE78B9">
        <w:t>ose is 145</w:t>
      </w:r>
      <w:r>
        <w:t xml:space="preserve"> </w:t>
      </w:r>
      <w:r w:rsidR="00FE78B9">
        <w:t>mcg once daily at least 30 minutes prior to the first meal of the day for chronic idiopathic constipation and 290</w:t>
      </w:r>
      <w:r>
        <w:t xml:space="preserve"> </w:t>
      </w:r>
      <w:r w:rsidR="00FE78B9">
        <w:t xml:space="preserve">mcg once daily at least 30 minutes prior to the first meal of the day for irritable bowel syndrome characterized by constipation. </w:t>
      </w:r>
    </w:p>
    <w:p w:rsidR="008C1111" w:rsidRDefault="008C1111" w:rsidP="00F4599E">
      <w:pPr>
        <w:pStyle w:val="ListBullet2"/>
        <w:tabs>
          <w:tab w:val="clear" w:pos="720"/>
          <w:tab w:val="num" w:pos="360"/>
        </w:tabs>
        <w:ind w:left="360"/>
      </w:pPr>
      <w:r>
        <w:t>In chronic idiopathic constipation, linaclotide increased the rate of responders (those with at least three complete spontaneous bowel movements in a week and an increase from baseline of at least one). The rate of responders was 3.3</w:t>
      </w:r>
      <w:r w:rsidR="00C06B3C">
        <w:t>%–</w:t>
      </w:r>
      <w:r>
        <w:t>6% for placebo, 16</w:t>
      </w:r>
      <w:r w:rsidR="00C06B3C">
        <w:t>%–</w:t>
      </w:r>
      <w:r>
        <w:t>21.2% for linaclotide 145</w:t>
      </w:r>
      <w:r w:rsidR="00C06B3C">
        <w:t xml:space="preserve"> </w:t>
      </w:r>
      <w:r>
        <w:t>mcg</w:t>
      </w:r>
      <w:r w:rsidR="00BD69E6">
        <w:t xml:space="preserve"> (NNT 5.6–10.1)</w:t>
      </w:r>
      <w:r>
        <w:t>, and 19.4</w:t>
      </w:r>
      <w:r w:rsidR="00C06B3C">
        <w:t>%–</w:t>
      </w:r>
      <w:r>
        <w:t>21.3% for linaclotide 290</w:t>
      </w:r>
      <w:r w:rsidR="00C06B3C">
        <w:t xml:space="preserve"> </w:t>
      </w:r>
      <w:r>
        <w:t>mcg</w:t>
      </w:r>
      <w:r w:rsidR="00BD69E6">
        <w:t xml:space="preserve"> (NNT 6.2–6.6)</w:t>
      </w:r>
      <w:r>
        <w:t>.</w:t>
      </w:r>
    </w:p>
    <w:p w:rsidR="006E5B44" w:rsidRDefault="008C1111" w:rsidP="006E5B44">
      <w:pPr>
        <w:pStyle w:val="ListBullet2"/>
        <w:tabs>
          <w:tab w:val="clear" w:pos="720"/>
          <w:tab w:val="num" w:pos="360"/>
        </w:tabs>
        <w:ind w:left="360"/>
      </w:pPr>
      <w:r>
        <w:t xml:space="preserve">In irritable bowel syndrome characterized by constipation, linaclotide also increased the rate of responders. Several definitions of responders were used. </w:t>
      </w:r>
      <w:r w:rsidR="00C06B3C">
        <w:t>For responders defined as having</w:t>
      </w:r>
      <w:r>
        <w:t xml:space="preserve"> at least a 30% improvement in abdominal pain and at least 1 additional complete spontaneous bowel movement per week, rates of responders were 13.2</w:t>
      </w:r>
      <w:r w:rsidR="00C06B3C">
        <w:t>%–</w:t>
      </w:r>
      <w:r>
        <w:t>21.0% for placebo and 32.4</w:t>
      </w:r>
      <w:r w:rsidR="00C06B3C">
        <w:t>%–</w:t>
      </w:r>
      <w:r>
        <w:t>33.7% for linaclotide 290</w:t>
      </w:r>
      <w:r w:rsidR="00C06B3C">
        <w:t xml:space="preserve"> </w:t>
      </w:r>
      <w:r>
        <w:t>mcg</w:t>
      </w:r>
      <w:r w:rsidR="006E5B44">
        <w:t xml:space="preserve"> (NNT 5.1-8.0)</w:t>
      </w:r>
      <w:r>
        <w:t xml:space="preserve">. </w:t>
      </w:r>
      <w:r w:rsidR="00C06B3C">
        <w:t>For responders defined as having</w:t>
      </w:r>
      <w:r>
        <w:t xml:space="preserve"> at least a 30% improvement in abdominal pain, rates of responders were 17.4</w:t>
      </w:r>
      <w:r w:rsidR="00C06B3C">
        <w:t>%–</w:t>
      </w:r>
      <w:r>
        <w:t>27.1% for placebo and 34.3</w:t>
      </w:r>
      <w:r w:rsidR="00C06B3C">
        <w:t>%–</w:t>
      </w:r>
      <w:r>
        <w:t>38.9% for linaclotide 290mcg</w:t>
      </w:r>
      <w:r w:rsidR="006E5B44">
        <w:t xml:space="preserve"> (NNT 5.2-13.8)</w:t>
      </w:r>
      <w:r>
        <w:t xml:space="preserve">. </w:t>
      </w:r>
      <w:r w:rsidR="00C06B3C">
        <w:t>For responders defined as having</w:t>
      </w:r>
      <w:r>
        <w:t xml:space="preserve"> at least a 30% improvement in abdominal pain, at least 3 complete spontaneous bowel movements per week and at least 1 additional complete spontaneous bowel movement per week from baseline, rates of responders were 2.5</w:t>
      </w:r>
      <w:r w:rsidR="00C06B3C">
        <w:t>%–</w:t>
      </w:r>
      <w:r>
        <w:t>5.1% for placebo and 12.0</w:t>
      </w:r>
      <w:r w:rsidR="00C06B3C">
        <w:t>%–</w:t>
      </w:r>
      <w:r>
        <w:t>12.7% for linaclotide 290</w:t>
      </w:r>
      <w:r w:rsidR="00C06B3C">
        <w:t xml:space="preserve"> </w:t>
      </w:r>
      <w:r>
        <w:t>mcg</w:t>
      </w:r>
      <w:r w:rsidR="006E5B44">
        <w:t xml:space="preserve"> (NNT 10.3-14.2)</w:t>
      </w:r>
      <w:r>
        <w:t xml:space="preserve">. </w:t>
      </w:r>
    </w:p>
    <w:p w:rsidR="00790C74" w:rsidRDefault="00790C74" w:rsidP="00F4599E">
      <w:pPr>
        <w:pStyle w:val="ListBullet2"/>
        <w:tabs>
          <w:tab w:val="clear" w:pos="720"/>
          <w:tab w:val="num" w:pos="360"/>
        </w:tabs>
        <w:ind w:left="360"/>
      </w:pPr>
      <w:r>
        <w:t>The most common adverse event was diarrhea</w:t>
      </w:r>
      <w:r w:rsidR="004C7A4A">
        <w:t>, which occurred in about 12</w:t>
      </w:r>
      <w:r w:rsidR="00C06B3C">
        <w:t>%–</w:t>
      </w:r>
      <w:r w:rsidR="004C7A4A">
        <w:t xml:space="preserve">20% of linaclotide patients. Other gastrointestinal effects occurred less frequently, including nausea, flatulence, abdominal pain, and abdominal distension. </w:t>
      </w:r>
    </w:p>
    <w:p w:rsidR="00E0443B" w:rsidRDefault="004C7A4A" w:rsidP="00E0443B">
      <w:pPr>
        <w:pStyle w:val="ListBullet2"/>
        <w:tabs>
          <w:tab w:val="clear" w:pos="720"/>
          <w:tab w:val="num" w:pos="360"/>
        </w:tabs>
        <w:ind w:left="360"/>
      </w:pPr>
      <w:r>
        <w:t xml:space="preserve">Linaclotide is contraindicated in patients with known or suspected mechanical gastrointestinal obstruction and </w:t>
      </w:r>
      <w:r w:rsidR="00F4599E">
        <w:t>in pediatric patients up to 6 years</w:t>
      </w:r>
      <w:r w:rsidR="00F4599E" w:rsidRPr="00F4599E">
        <w:t xml:space="preserve"> </w:t>
      </w:r>
      <w:r w:rsidR="00F4599E">
        <w:t>of age.</w:t>
      </w:r>
    </w:p>
    <w:p w:rsidR="004C7A4A" w:rsidRDefault="00C720C4" w:rsidP="00E0443B">
      <w:pPr>
        <w:pStyle w:val="ListBullet2"/>
        <w:tabs>
          <w:tab w:val="clear" w:pos="720"/>
          <w:tab w:val="num" w:pos="360"/>
        </w:tabs>
        <w:ind w:left="360"/>
      </w:pPr>
      <w:r w:rsidRPr="00E0443B">
        <w:rPr>
          <w:b/>
        </w:rPr>
        <w:t>Conclusion:</w:t>
      </w:r>
      <w:r>
        <w:t xml:space="preserve">  </w:t>
      </w:r>
      <w:r w:rsidR="00E0443B">
        <w:t>Prescription medication options are limited for patients with chronic idiopathic constipation (CIC) or irritable bowel syndrome with a constipation component (IBS-C). Linaclotide was shown to be an effective and safe medication in the treatment of adults with CIC or</w:t>
      </w:r>
      <w:r w:rsidR="00E0443B" w:rsidRPr="007C52B3">
        <w:t xml:space="preserve"> </w:t>
      </w:r>
      <w:r w:rsidR="00E0443B">
        <w:t xml:space="preserve">IBS-C. Lubiprostone, a chloride channel activator, is the only other option available to treat patients with these conditions, and currently there are no head-to-head trials comparing the two medications. Based on indirect comparisons of placebo-controlled trial results, neither agent seems to be superior to the other in regards to efficacy. Both have similar adverse event profiles, with diarrhea being a common problem with each medication. Nausea and dyspnea, both of which may be severe, seem to be more common in lubiprostone treated patients based on indirect comparisons. There is more clinical experience with lubiprostone, </w:t>
      </w:r>
      <w:r w:rsidR="00E0443B">
        <w:lastRenderedPageBreak/>
        <w:t>but both agents lack long-term safety data. However, neither drug is systemically absorbed at detectable levels. Patient adherence may be easier with linaclotide, as it is dosed once daily whereas lubiprostone is twice daily. Linaclotide is also slightly less expensive than lubiprostone. For CIC, the American Gastroenterological Association considers lubiprostone and linaclotide to be third line agents in patients whose symptoms do not respond to fiber and laxatives. At this time, guidelines do not make specific recommendations for one agent over another in the treatment of IBS-C. Expert opinion suggests initiating pharmacologic therapy in patients with moderate symptoms, with the choice of agent based on patient-specific response. Head-to-head trials are needed in both conditions to determine whether one agent is better than the others.</w:t>
      </w:r>
    </w:p>
    <w:p w:rsidR="00537E8D" w:rsidRDefault="00537E8D" w:rsidP="00821DB6">
      <w:pPr>
        <w:pStyle w:val="ListBullet2"/>
        <w:numPr>
          <w:ilvl w:val="0"/>
          <w:numId w:val="0"/>
        </w:numPr>
        <w:ind w:left="720" w:hanging="360"/>
      </w:pPr>
    </w:p>
    <w:p w:rsidR="00537E8D" w:rsidRDefault="00537E8D" w:rsidP="008160D8">
      <w:pPr>
        <w:pStyle w:val="StyleHeading1Black"/>
      </w:pPr>
      <w:r>
        <w:t>Introduction</w:t>
      </w:r>
    </w:p>
    <w:p w:rsidR="00386B85" w:rsidRDefault="00386B85" w:rsidP="00386B85">
      <w:r>
        <w:t>The purposes of this monograph are to (1) evaluate the available evidence of safety, tolerability, efficacy, cost, and other pharmaceutical issues that would be relevant to evaluating linaclotide for possible addition to the VA National Formulary; (2) define its role in therapy; and (3) identify parameters for its rational use in the VA.</w:t>
      </w:r>
    </w:p>
    <w:p w:rsidR="002D622B" w:rsidRDefault="002D622B"/>
    <w:p w:rsidR="00537E8D" w:rsidRDefault="00537E8D" w:rsidP="008160D8">
      <w:pPr>
        <w:pStyle w:val="StyleHeading1Black"/>
      </w:pPr>
      <w:r>
        <w:t>Pharmacology/Pharmacokinetics</w:t>
      </w:r>
    </w:p>
    <w:p w:rsidR="0014063C" w:rsidRDefault="0014063C" w:rsidP="00DB5971">
      <w:pPr>
        <w:pStyle w:val="Heading2"/>
      </w:pPr>
      <w:r w:rsidRPr="00386B85">
        <w:t>Mechanism of Action</w:t>
      </w:r>
    </w:p>
    <w:p w:rsidR="0014063C" w:rsidRPr="00386B85" w:rsidRDefault="0014063C" w:rsidP="00D31FB0">
      <w:proofErr w:type="spellStart"/>
      <w:proofErr w:type="gramStart"/>
      <w:r w:rsidRPr="00386B85">
        <w:t>Guanylate</w:t>
      </w:r>
      <w:proofErr w:type="spellEnd"/>
      <w:r w:rsidRPr="00386B85">
        <w:t xml:space="preserve"> </w:t>
      </w:r>
      <w:proofErr w:type="spellStart"/>
      <w:r w:rsidRPr="00386B85">
        <w:t>cyclase</w:t>
      </w:r>
      <w:proofErr w:type="spellEnd"/>
      <w:r w:rsidRPr="00386B85">
        <w:t>-C agonist.</w:t>
      </w:r>
      <w:proofErr w:type="gramEnd"/>
      <w:r w:rsidRPr="00386B85">
        <w:t xml:space="preserve"> Activating </w:t>
      </w:r>
      <w:proofErr w:type="spellStart"/>
      <w:r w:rsidRPr="00386B85">
        <w:t>guanylate</w:t>
      </w:r>
      <w:proofErr w:type="spellEnd"/>
      <w:r w:rsidRPr="00386B85">
        <w:t xml:space="preserve"> </w:t>
      </w:r>
      <w:proofErr w:type="spellStart"/>
      <w:r w:rsidRPr="00386B85">
        <w:t>cyclase</w:t>
      </w:r>
      <w:proofErr w:type="spellEnd"/>
      <w:r w:rsidRPr="00386B85">
        <w:t xml:space="preserve">-C on the luminal surface of intestinal epithelium increases levels of cyclic </w:t>
      </w:r>
      <w:proofErr w:type="spellStart"/>
      <w:r w:rsidRPr="00386B85">
        <w:t>guanosine</w:t>
      </w:r>
      <w:proofErr w:type="spellEnd"/>
      <w:r w:rsidRPr="00386B85">
        <w:t xml:space="preserve"> monophosphate, which stimulates secretion of chloride and bicarbonate into the intestinal lumen, causing an increase in intestinal fluid and faster transit </w:t>
      </w:r>
    </w:p>
    <w:p w:rsidR="0014063C" w:rsidRDefault="0014063C" w:rsidP="00DB5971"/>
    <w:p w:rsidR="0014063C" w:rsidRDefault="0014063C" w:rsidP="00DB5971">
      <w:pPr>
        <w:pStyle w:val="Heading2"/>
      </w:pPr>
      <w:r>
        <w:t>Pharmacokinetics</w:t>
      </w:r>
    </w:p>
    <w:p w:rsidR="00537E8D" w:rsidRDefault="00386B85">
      <w:pPr>
        <w:pStyle w:val="Caption"/>
      </w:pPr>
      <w:r>
        <w:t>Table 1 Pharmacokinetics of Linaclotide</w:t>
      </w:r>
      <w:r>
        <w:rPr>
          <w:rStyle w:val="EndnoteReference"/>
        </w:rPr>
        <w:endnoteReference w:id="1"/>
      </w:r>
    </w:p>
    <w:tbl>
      <w:tblPr>
        <w:tblW w:w="0" w:type="auto"/>
        <w:tblLook w:val="04A0" w:firstRow="1" w:lastRow="0" w:firstColumn="1" w:lastColumn="0" w:noHBand="0" w:noVBand="1"/>
      </w:tblPr>
      <w:tblGrid>
        <w:gridCol w:w="1187"/>
        <w:gridCol w:w="7669"/>
      </w:tblGrid>
      <w:tr w:rsidR="0014063C" w:rsidTr="00DB5971">
        <w:tc>
          <w:tcPr>
            <w:tcW w:w="0" w:type="auto"/>
            <w:tcBorders>
              <w:top w:val="single" w:sz="4" w:space="0" w:color="auto"/>
            </w:tcBorders>
          </w:tcPr>
          <w:p w:rsidR="0014063C" w:rsidRDefault="0014063C" w:rsidP="002D0FE9">
            <w:pPr>
              <w:pStyle w:val="Table"/>
            </w:pPr>
            <w:r>
              <w:t>Absorption</w:t>
            </w:r>
          </w:p>
        </w:tc>
        <w:tc>
          <w:tcPr>
            <w:tcW w:w="0" w:type="auto"/>
            <w:tcBorders>
              <w:top w:val="single" w:sz="4" w:space="0" w:color="auto"/>
            </w:tcBorders>
          </w:tcPr>
          <w:p w:rsidR="0014063C" w:rsidRDefault="0014063C" w:rsidP="002D0FE9">
            <w:pPr>
              <w:pStyle w:val="Table"/>
            </w:pPr>
            <w:r w:rsidRPr="00386B85">
              <w:t>Oral</w:t>
            </w:r>
            <w:r>
              <w:t xml:space="preserve"> bioavailability is</w:t>
            </w:r>
            <w:r w:rsidRPr="00386B85">
              <w:t xml:space="preserve"> low</w:t>
            </w:r>
            <w:r>
              <w:t>. Plasma concentrations are below limit of quantitation for parent drug and metabolite.</w:t>
            </w:r>
            <w:r w:rsidR="00E6791B">
              <w:t xml:space="preserve"> AUC, clearance and half-life cannot be calculated.</w:t>
            </w:r>
          </w:p>
          <w:p w:rsidR="0014063C" w:rsidRPr="00386B85" w:rsidRDefault="0014063C" w:rsidP="002D0FE9">
            <w:pPr>
              <w:pStyle w:val="Table"/>
            </w:pPr>
          </w:p>
        </w:tc>
      </w:tr>
      <w:tr w:rsidR="0014063C" w:rsidTr="002D0FE9">
        <w:tc>
          <w:tcPr>
            <w:tcW w:w="0" w:type="auto"/>
          </w:tcPr>
          <w:p w:rsidR="0014063C" w:rsidRDefault="0014063C" w:rsidP="002D0FE9">
            <w:pPr>
              <w:pStyle w:val="Table"/>
            </w:pPr>
            <w:r>
              <w:t>Distribution</w:t>
            </w:r>
          </w:p>
        </w:tc>
        <w:tc>
          <w:tcPr>
            <w:tcW w:w="0" w:type="auto"/>
          </w:tcPr>
          <w:p w:rsidR="0014063C" w:rsidRDefault="0014063C" w:rsidP="002D0FE9">
            <w:pPr>
              <w:pStyle w:val="Table"/>
            </w:pPr>
            <w:r>
              <w:t>Not measurable. Expected to be minimally distributed to tissues. Protein binding</w:t>
            </w:r>
            <w:r w:rsidRPr="00386B85">
              <w:t xml:space="preserve"> </w:t>
            </w:r>
            <w:r>
              <w:t>is not</w:t>
            </w:r>
            <w:r w:rsidRPr="00386B85">
              <w:t xml:space="preserve"> anticipated</w:t>
            </w:r>
            <w:r>
              <w:t>.</w:t>
            </w:r>
          </w:p>
          <w:p w:rsidR="0014063C" w:rsidRPr="00386B85" w:rsidRDefault="0014063C" w:rsidP="002D0FE9">
            <w:pPr>
              <w:pStyle w:val="Table"/>
            </w:pPr>
          </w:p>
        </w:tc>
      </w:tr>
      <w:tr w:rsidR="003F6C07" w:rsidTr="00DB5971">
        <w:trPr>
          <w:trHeight w:val="197"/>
        </w:trPr>
        <w:tc>
          <w:tcPr>
            <w:tcW w:w="0" w:type="auto"/>
          </w:tcPr>
          <w:p w:rsidR="003F6C07" w:rsidRPr="00386B85" w:rsidRDefault="003F6C07">
            <w:pPr>
              <w:pStyle w:val="Table"/>
            </w:pPr>
            <w:r>
              <w:t>Metabolism:</w:t>
            </w:r>
          </w:p>
        </w:tc>
        <w:tc>
          <w:tcPr>
            <w:tcW w:w="0" w:type="auto"/>
          </w:tcPr>
          <w:p w:rsidR="003F6C07" w:rsidRDefault="0014063C">
            <w:pPr>
              <w:pStyle w:val="Table"/>
            </w:pPr>
            <w:proofErr w:type="spellStart"/>
            <w:r w:rsidRPr="00386B85">
              <w:t>Proteolytic</w:t>
            </w:r>
            <w:proofErr w:type="spellEnd"/>
            <w:r w:rsidRPr="00386B85">
              <w:t xml:space="preserve"> degradation within intestinal lumen to active metabolite</w:t>
            </w:r>
          </w:p>
          <w:p w:rsidR="0014063C" w:rsidRPr="00386B85" w:rsidRDefault="0014063C">
            <w:pPr>
              <w:pStyle w:val="Table"/>
            </w:pPr>
          </w:p>
        </w:tc>
      </w:tr>
      <w:tr w:rsidR="0014063C" w:rsidTr="00DB5971">
        <w:trPr>
          <w:trHeight w:val="225"/>
        </w:trPr>
        <w:tc>
          <w:tcPr>
            <w:tcW w:w="0" w:type="auto"/>
            <w:tcBorders>
              <w:bottom w:val="single" w:sz="4" w:space="0" w:color="auto"/>
            </w:tcBorders>
          </w:tcPr>
          <w:p w:rsidR="0014063C" w:rsidRDefault="0014063C" w:rsidP="002D0FE9">
            <w:pPr>
              <w:pStyle w:val="Table"/>
            </w:pPr>
            <w:r>
              <w:t>Elimination</w:t>
            </w:r>
          </w:p>
        </w:tc>
        <w:tc>
          <w:tcPr>
            <w:tcW w:w="0" w:type="auto"/>
            <w:tcBorders>
              <w:bottom w:val="single" w:sz="4" w:space="0" w:color="auto"/>
            </w:tcBorders>
          </w:tcPr>
          <w:p w:rsidR="0014063C" w:rsidRPr="00386B85" w:rsidRDefault="0014063C" w:rsidP="00FB69ED">
            <w:pPr>
              <w:pStyle w:val="Table"/>
            </w:pPr>
            <w:r w:rsidRPr="00386B85">
              <w:t>Fecal: 3%</w:t>
            </w:r>
            <w:r w:rsidR="00E6791B">
              <w:t xml:space="preserve"> (fed) to </w:t>
            </w:r>
            <w:r w:rsidRPr="00386B85">
              <w:t>5%</w:t>
            </w:r>
            <w:r w:rsidR="00E6791B">
              <w:t xml:space="preserve"> (fasted), mainly active metabolite</w:t>
            </w:r>
          </w:p>
        </w:tc>
      </w:tr>
    </w:tbl>
    <w:p w:rsidR="00EC2EEB" w:rsidRDefault="00EC2EEB">
      <w:pPr>
        <w:rPr>
          <w:bCs/>
        </w:rPr>
      </w:pPr>
    </w:p>
    <w:p w:rsidR="00537E8D" w:rsidRDefault="00537E8D">
      <w:pPr>
        <w:pStyle w:val="Heading1"/>
      </w:pPr>
      <w:r>
        <w:t xml:space="preserve">FDA Approved Indication(s) </w:t>
      </w:r>
    </w:p>
    <w:p w:rsidR="00E6791B" w:rsidRDefault="00E6791B" w:rsidP="009E4E80">
      <w:pPr>
        <w:pStyle w:val="BodyText"/>
        <w:rPr>
          <w:rFonts w:ascii="Times New Roman" w:hAnsi="Times New Roman"/>
          <w:color w:val="000000"/>
          <w:sz w:val="22"/>
        </w:rPr>
      </w:pPr>
      <w:r>
        <w:rPr>
          <w:rFonts w:ascii="Times New Roman" w:hAnsi="Times New Roman"/>
          <w:color w:val="000000"/>
          <w:sz w:val="22"/>
        </w:rPr>
        <w:t>Indicated in adults for treatment of both</w:t>
      </w:r>
    </w:p>
    <w:p w:rsidR="009E4E80" w:rsidRPr="00386B85" w:rsidRDefault="00E6791B" w:rsidP="00DB5971">
      <w:pPr>
        <w:pStyle w:val="BodyText"/>
        <w:numPr>
          <w:ilvl w:val="0"/>
          <w:numId w:val="26"/>
        </w:numPr>
        <w:rPr>
          <w:rFonts w:ascii="Times New Roman" w:hAnsi="Times New Roman"/>
          <w:color w:val="000000"/>
          <w:sz w:val="22"/>
        </w:rPr>
      </w:pPr>
      <w:r>
        <w:rPr>
          <w:rFonts w:ascii="Times New Roman" w:hAnsi="Times New Roman"/>
          <w:color w:val="000000"/>
          <w:sz w:val="22"/>
        </w:rPr>
        <w:t>Chronic i</w:t>
      </w:r>
      <w:r w:rsidR="003C3019" w:rsidRPr="00386B85">
        <w:rPr>
          <w:rFonts w:ascii="Times New Roman" w:hAnsi="Times New Roman"/>
          <w:color w:val="000000"/>
          <w:sz w:val="22"/>
        </w:rPr>
        <w:t>diopathic constipation</w:t>
      </w:r>
      <w:r>
        <w:rPr>
          <w:rFonts w:ascii="Times New Roman" w:hAnsi="Times New Roman"/>
          <w:color w:val="000000"/>
          <w:sz w:val="22"/>
        </w:rPr>
        <w:t xml:space="preserve"> (CIC)</w:t>
      </w:r>
      <w:r w:rsidR="003C3019" w:rsidRPr="00386B85">
        <w:rPr>
          <w:rFonts w:ascii="Times New Roman" w:hAnsi="Times New Roman"/>
          <w:color w:val="000000"/>
          <w:sz w:val="22"/>
        </w:rPr>
        <w:t xml:space="preserve"> </w:t>
      </w:r>
      <w:r>
        <w:rPr>
          <w:rFonts w:ascii="Times New Roman" w:hAnsi="Times New Roman"/>
          <w:color w:val="000000"/>
          <w:sz w:val="22"/>
        </w:rPr>
        <w:t>and</w:t>
      </w:r>
    </w:p>
    <w:p w:rsidR="003C3019" w:rsidRDefault="003C3019" w:rsidP="00DB5971">
      <w:pPr>
        <w:pStyle w:val="BodyText"/>
        <w:numPr>
          <w:ilvl w:val="0"/>
          <w:numId w:val="26"/>
        </w:numPr>
        <w:rPr>
          <w:rFonts w:ascii="Times New Roman" w:hAnsi="Times New Roman"/>
          <w:color w:val="000000"/>
          <w:sz w:val="22"/>
        </w:rPr>
      </w:pPr>
      <w:r w:rsidRPr="00386B85">
        <w:rPr>
          <w:rFonts w:ascii="Times New Roman" w:hAnsi="Times New Roman"/>
          <w:color w:val="000000"/>
          <w:sz w:val="22"/>
        </w:rPr>
        <w:t xml:space="preserve">Irritable bowel syndrome </w:t>
      </w:r>
      <w:r w:rsidR="00E6791B">
        <w:rPr>
          <w:rFonts w:ascii="Times New Roman" w:hAnsi="Times New Roman"/>
          <w:color w:val="000000"/>
          <w:sz w:val="22"/>
        </w:rPr>
        <w:t>with</w:t>
      </w:r>
      <w:r w:rsidRPr="00386B85">
        <w:rPr>
          <w:rFonts w:ascii="Times New Roman" w:hAnsi="Times New Roman"/>
          <w:color w:val="000000"/>
          <w:sz w:val="22"/>
        </w:rPr>
        <w:t xml:space="preserve"> constipation</w:t>
      </w:r>
      <w:r w:rsidR="00E6791B">
        <w:rPr>
          <w:rFonts w:ascii="Times New Roman" w:hAnsi="Times New Roman"/>
          <w:color w:val="000000"/>
          <w:sz w:val="22"/>
        </w:rPr>
        <w:t xml:space="preserve"> (IBS-C)</w:t>
      </w:r>
    </w:p>
    <w:p w:rsidR="00386B85" w:rsidRDefault="00386B85" w:rsidP="009E4E80">
      <w:pPr>
        <w:pStyle w:val="BodyText"/>
        <w:rPr>
          <w:rFonts w:ascii="Times New Roman" w:hAnsi="Times New Roman"/>
          <w:color w:val="000000"/>
          <w:sz w:val="22"/>
        </w:rPr>
      </w:pPr>
    </w:p>
    <w:p w:rsidR="00C0294D" w:rsidRDefault="00C0294D" w:rsidP="00C0294D">
      <w:pPr>
        <w:pStyle w:val="Heading1"/>
      </w:pPr>
      <w:r>
        <w:t>Potential Off-label Uses</w:t>
      </w:r>
    </w:p>
    <w:p w:rsidR="00E6791B" w:rsidRDefault="00E6791B" w:rsidP="00E6791B">
      <w:pPr>
        <w:rPr>
          <w:i/>
        </w:rPr>
      </w:pPr>
      <w:r w:rsidRPr="0024422D">
        <w:rPr>
          <w:i/>
        </w:rPr>
        <w:t xml:space="preserve">This section is not intended to promote any off-label uses. Off-label use should be evidence-based. See VA PBM-MAP and Center for Medication Safety’s </w:t>
      </w:r>
      <w:hyperlink r:id="rId9" w:history="1">
        <w:r w:rsidRPr="0024422D">
          <w:rPr>
            <w:rStyle w:val="Hyperlink"/>
            <w:i/>
          </w:rPr>
          <w:t>Guidance on “Off-label” Prescribing</w:t>
        </w:r>
      </w:hyperlink>
      <w:r w:rsidRPr="0024422D">
        <w:rPr>
          <w:i/>
        </w:rPr>
        <w:t xml:space="preserve"> (available on the VA PBM Intranet site only).</w:t>
      </w:r>
    </w:p>
    <w:p w:rsidR="00E6791B" w:rsidRPr="00DB5971" w:rsidRDefault="00E6791B" w:rsidP="00E6791B"/>
    <w:p w:rsidR="00ED78F3" w:rsidRDefault="00ED78F3" w:rsidP="00C0294D">
      <w:r>
        <w:lastRenderedPageBreak/>
        <w:t xml:space="preserve">There are no current trials assessing additional uses of linaclotide. </w:t>
      </w:r>
    </w:p>
    <w:p w:rsidR="005D56F7" w:rsidRDefault="005D56F7" w:rsidP="00C0294D"/>
    <w:p w:rsidR="00537E8D" w:rsidRDefault="00537E8D">
      <w:pPr>
        <w:pStyle w:val="Heading1"/>
      </w:pPr>
      <w:r>
        <w:t>Current VA National Formulary Alternatives</w:t>
      </w:r>
    </w:p>
    <w:p w:rsidR="009E4E80" w:rsidRDefault="00B179F1" w:rsidP="009E4E80">
      <w:r>
        <w:t xml:space="preserve">There are no current formulary alternatives to linaclotide. </w:t>
      </w:r>
    </w:p>
    <w:p w:rsidR="00E6791B" w:rsidRDefault="00E6791B" w:rsidP="009E4E80"/>
    <w:p w:rsidR="00E6791B" w:rsidRDefault="00E6791B" w:rsidP="009E4E80">
      <w:proofErr w:type="spellStart"/>
      <w:r>
        <w:t>Lubiprostone</w:t>
      </w:r>
      <w:proofErr w:type="spellEnd"/>
      <w:r>
        <w:t xml:space="preserve"> is a </w:t>
      </w:r>
      <w:proofErr w:type="spellStart"/>
      <w:r>
        <w:t>nonformulary</w:t>
      </w:r>
      <w:proofErr w:type="spellEnd"/>
      <w:r>
        <w:t xml:space="preserve"> alternative for both CIC and IBS-C.</w:t>
      </w:r>
    </w:p>
    <w:p w:rsidR="009E4E80" w:rsidRDefault="009E4E80" w:rsidP="009E4E80"/>
    <w:p w:rsidR="00537E8D" w:rsidRDefault="00537E8D">
      <w:pPr>
        <w:pStyle w:val="Heading1"/>
      </w:pPr>
      <w:r>
        <w:t>Dosage and Administration</w:t>
      </w:r>
    </w:p>
    <w:p w:rsidR="00251960" w:rsidRPr="00B179F1" w:rsidRDefault="00D31FB0" w:rsidP="00A44E82">
      <w:pPr>
        <w:pStyle w:val="BodyText"/>
        <w:rPr>
          <w:rFonts w:ascii="Times New Roman" w:hAnsi="Times New Roman"/>
          <w:color w:val="000000"/>
          <w:sz w:val="22"/>
        </w:rPr>
      </w:pPr>
      <w:r>
        <w:rPr>
          <w:rFonts w:ascii="Times New Roman" w:hAnsi="Times New Roman"/>
          <w:color w:val="000000"/>
          <w:sz w:val="22"/>
        </w:rPr>
        <w:t xml:space="preserve">Hard </w:t>
      </w:r>
      <w:r w:rsidR="00A80839">
        <w:rPr>
          <w:rFonts w:ascii="Times New Roman" w:hAnsi="Times New Roman"/>
          <w:color w:val="000000"/>
          <w:sz w:val="22"/>
        </w:rPr>
        <w:t xml:space="preserve">gelatin </w:t>
      </w:r>
      <w:r w:rsidR="00A80839" w:rsidRPr="00B179F1">
        <w:rPr>
          <w:rFonts w:ascii="Times New Roman" w:hAnsi="Times New Roman"/>
          <w:color w:val="000000"/>
          <w:sz w:val="22"/>
        </w:rPr>
        <w:t>capsule</w:t>
      </w:r>
      <w:r w:rsidR="00A80839">
        <w:rPr>
          <w:rFonts w:ascii="Times New Roman" w:hAnsi="Times New Roman"/>
          <w:color w:val="000000"/>
          <w:sz w:val="22"/>
        </w:rPr>
        <w:t>s</w:t>
      </w:r>
      <w:r w:rsidR="00A80839" w:rsidRPr="00B179F1">
        <w:rPr>
          <w:rFonts w:ascii="Times New Roman" w:hAnsi="Times New Roman"/>
          <w:color w:val="000000"/>
          <w:sz w:val="22"/>
        </w:rPr>
        <w:t>, oral</w:t>
      </w:r>
      <w:r w:rsidR="00251960" w:rsidRPr="00B179F1">
        <w:rPr>
          <w:rFonts w:ascii="Times New Roman" w:hAnsi="Times New Roman"/>
          <w:color w:val="000000"/>
          <w:sz w:val="22"/>
        </w:rPr>
        <w:t>: 145 mcg, 290 mcg</w:t>
      </w:r>
    </w:p>
    <w:p w:rsidR="00251960" w:rsidRPr="00B179F1" w:rsidRDefault="00251960" w:rsidP="00A44E82">
      <w:pPr>
        <w:pStyle w:val="BodyText"/>
        <w:rPr>
          <w:rFonts w:ascii="Times New Roman" w:hAnsi="Times New Roman"/>
          <w:color w:val="000000"/>
          <w:sz w:val="22"/>
        </w:rPr>
      </w:pPr>
    </w:p>
    <w:p w:rsidR="00A44E82" w:rsidRPr="00B179F1" w:rsidRDefault="00E6791B" w:rsidP="00A44E82">
      <w:pPr>
        <w:pStyle w:val="BodyText"/>
        <w:rPr>
          <w:rFonts w:ascii="Times New Roman" w:hAnsi="Times New Roman"/>
          <w:color w:val="000000"/>
          <w:sz w:val="22"/>
        </w:rPr>
      </w:pPr>
      <w:r>
        <w:rPr>
          <w:rFonts w:ascii="Times New Roman" w:hAnsi="Times New Roman"/>
          <w:color w:val="000000"/>
          <w:sz w:val="22"/>
        </w:rPr>
        <w:t>C</w:t>
      </w:r>
      <w:r w:rsidRPr="00B179F1">
        <w:rPr>
          <w:rFonts w:ascii="Times New Roman" w:hAnsi="Times New Roman"/>
          <w:color w:val="000000"/>
          <w:sz w:val="22"/>
        </w:rPr>
        <w:t xml:space="preserve">hronic </w:t>
      </w:r>
      <w:r>
        <w:rPr>
          <w:rFonts w:ascii="Times New Roman" w:hAnsi="Times New Roman"/>
          <w:color w:val="000000"/>
          <w:sz w:val="22"/>
        </w:rPr>
        <w:t>i</w:t>
      </w:r>
      <w:r w:rsidR="00A44E82" w:rsidRPr="00B179F1">
        <w:rPr>
          <w:rFonts w:ascii="Times New Roman" w:hAnsi="Times New Roman"/>
          <w:color w:val="000000"/>
          <w:sz w:val="22"/>
        </w:rPr>
        <w:t xml:space="preserve">diopathic constipation </w:t>
      </w:r>
      <w:r w:rsidR="00251960" w:rsidRPr="00B179F1">
        <w:rPr>
          <w:rFonts w:ascii="Times New Roman" w:hAnsi="Times New Roman"/>
          <w:color w:val="000000"/>
          <w:sz w:val="22"/>
        </w:rPr>
        <w:t>(CIC)</w:t>
      </w:r>
      <w:r w:rsidR="00A44E82" w:rsidRPr="00B179F1">
        <w:rPr>
          <w:rFonts w:ascii="Times New Roman" w:hAnsi="Times New Roman"/>
          <w:color w:val="000000"/>
          <w:sz w:val="22"/>
        </w:rPr>
        <w:t>: 145 mcg orally once daily at least 30 minutes prior to the first meal of the day</w:t>
      </w:r>
      <w:r w:rsidR="00601A01">
        <w:rPr>
          <w:rFonts w:ascii="Times New Roman" w:hAnsi="Times New Roman"/>
          <w:color w:val="000000"/>
          <w:sz w:val="22"/>
        </w:rPr>
        <w:t>.</w:t>
      </w:r>
    </w:p>
    <w:p w:rsidR="00A44E82" w:rsidRPr="00B179F1" w:rsidRDefault="00A44E82" w:rsidP="00A44E82">
      <w:pPr>
        <w:pStyle w:val="BodyText"/>
        <w:rPr>
          <w:rFonts w:ascii="Times New Roman" w:hAnsi="Times New Roman"/>
          <w:color w:val="000000"/>
          <w:sz w:val="22"/>
        </w:rPr>
      </w:pPr>
    </w:p>
    <w:p w:rsidR="00A44E82" w:rsidRDefault="00A44E82" w:rsidP="00A44E82">
      <w:pPr>
        <w:pStyle w:val="BodyText"/>
        <w:rPr>
          <w:rFonts w:ascii="Times New Roman" w:hAnsi="Times New Roman"/>
          <w:color w:val="000000"/>
          <w:sz w:val="22"/>
        </w:rPr>
      </w:pPr>
      <w:r w:rsidRPr="00B179F1">
        <w:rPr>
          <w:rFonts w:ascii="Times New Roman" w:hAnsi="Times New Roman"/>
          <w:color w:val="000000"/>
          <w:sz w:val="22"/>
        </w:rPr>
        <w:t>Irritable bowel syndrome characterized by constipation</w:t>
      </w:r>
      <w:r w:rsidR="00251960" w:rsidRPr="00B179F1">
        <w:rPr>
          <w:rFonts w:ascii="Times New Roman" w:hAnsi="Times New Roman"/>
          <w:color w:val="000000"/>
          <w:sz w:val="22"/>
        </w:rPr>
        <w:t xml:space="preserve"> (IBS-C)</w:t>
      </w:r>
      <w:r w:rsidRPr="00B179F1">
        <w:rPr>
          <w:rFonts w:ascii="Times New Roman" w:hAnsi="Times New Roman"/>
          <w:color w:val="000000"/>
          <w:sz w:val="22"/>
        </w:rPr>
        <w:t>: 290 mcg orally once daily at least 30 minutes prior to the first meal of the day</w:t>
      </w:r>
      <w:r w:rsidR="00601A01">
        <w:rPr>
          <w:rFonts w:ascii="Times New Roman" w:hAnsi="Times New Roman"/>
          <w:color w:val="000000"/>
          <w:sz w:val="22"/>
        </w:rPr>
        <w:t>.</w:t>
      </w:r>
    </w:p>
    <w:p w:rsidR="00601A01" w:rsidRPr="00B179F1" w:rsidRDefault="00601A01" w:rsidP="00A44E82">
      <w:pPr>
        <w:pStyle w:val="BodyText"/>
        <w:rPr>
          <w:rFonts w:ascii="Times New Roman" w:hAnsi="Times New Roman"/>
          <w:color w:val="000000"/>
          <w:sz w:val="22"/>
        </w:rPr>
      </w:pPr>
    </w:p>
    <w:p w:rsidR="00601A01" w:rsidRPr="00B179F1" w:rsidRDefault="00601A01" w:rsidP="00601A01">
      <w:pPr>
        <w:pStyle w:val="BodyText"/>
        <w:rPr>
          <w:rFonts w:ascii="Times New Roman" w:hAnsi="Times New Roman"/>
          <w:color w:val="000000"/>
          <w:sz w:val="22"/>
        </w:rPr>
      </w:pPr>
      <w:r w:rsidRPr="00B179F1">
        <w:rPr>
          <w:rFonts w:ascii="Times New Roman" w:hAnsi="Times New Roman"/>
          <w:color w:val="000000"/>
          <w:sz w:val="22"/>
        </w:rPr>
        <w:t>Swallow whole; do not break or chew</w:t>
      </w:r>
      <w:r>
        <w:rPr>
          <w:rFonts w:ascii="Times New Roman" w:hAnsi="Times New Roman"/>
          <w:color w:val="000000"/>
          <w:sz w:val="22"/>
        </w:rPr>
        <w:t>.</w:t>
      </w:r>
    </w:p>
    <w:p w:rsidR="00601A01" w:rsidRPr="00B179F1" w:rsidRDefault="00601A01" w:rsidP="00601A01">
      <w:pPr>
        <w:pStyle w:val="BodyText"/>
        <w:rPr>
          <w:rFonts w:ascii="Times New Roman" w:hAnsi="Times New Roman"/>
          <w:color w:val="000000"/>
          <w:sz w:val="22"/>
        </w:rPr>
      </w:pPr>
    </w:p>
    <w:p w:rsidR="00601A01" w:rsidRPr="00FB69ED" w:rsidRDefault="00601A01" w:rsidP="00601A01">
      <w:pPr>
        <w:pStyle w:val="BodyText"/>
        <w:rPr>
          <w:rFonts w:ascii="Times New Roman" w:hAnsi="Times New Roman"/>
          <w:color w:val="000000"/>
          <w:sz w:val="22"/>
        </w:rPr>
      </w:pPr>
      <w:r w:rsidRPr="00B179F1">
        <w:rPr>
          <w:rFonts w:ascii="Times New Roman" w:hAnsi="Times New Roman"/>
          <w:color w:val="000000"/>
          <w:sz w:val="22"/>
        </w:rPr>
        <w:t>Loose stools and increased frequency of stools may occur after administration with a high-fat breakfast</w:t>
      </w:r>
      <w:r>
        <w:rPr>
          <w:rFonts w:ascii="Times New Roman" w:hAnsi="Times New Roman"/>
          <w:color w:val="000000"/>
          <w:sz w:val="22"/>
        </w:rPr>
        <w:t>.</w:t>
      </w:r>
    </w:p>
    <w:p w:rsidR="00A44E82" w:rsidRDefault="00A44E82" w:rsidP="00A44E82">
      <w:pPr>
        <w:pStyle w:val="BodyText"/>
        <w:rPr>
          <w:rFonts w:ascii="Times New Roman" w:hAnsi="Times New Roman"/>
          <w:color w:val="000000"/>
          <w:sz w:val="22"/>
        </w:rPr>
      </w:pPr>
    </w:p>
    <w:p w:rsidR="00E6791B" w:rsidRPr="00B179F1" w:rsidRDefault="00E6791B" w:rsidP="00DB5971">
      <w:pPr>
        <w:pStyle w:val="Heading2"/>
      </w:pPr>
      <w:r>
        <w:t>Dosage in Specific Populations</w:t>
      </w:r>
    </w:p>
    <w:p w:rsidR="00A44E82" w:rsidRPr="00B179F1" w:rsidRDefault="00A44E82" w:rsidP="00A44E82">
      <w:pPr>
        <w:pStyle w:val="BodyText"/>
        <w:rPr>
          <w:rFonts w:ascii="Times New Roman" w:hAnsi="Times New Roman"/>
          <w:color w:val="000000"/>
          <w:sz w:val="22"/>
        </w:rPr>
      </w:pPr>
      <w:r w:rsidRPr="00B179F1">
        <w:rPr>
          <w:rFonts w:ascii="Times New Roman" w:hAnsi="Times New Roman"/>
          <w:color w:val="000000"/>
          <w:sz w:val="22"/>
        </w:rPr>
        <w:t>Renal Impairment: no dose adjustment necessary</w:t>
      </w:r>
    </w:p>
    <w:p w:rsidR="00A44E82" w:rsidRPr="00B179F1" w:rsidRDefault="00A44E82" w:rsidP="00A44E82">
      <w:pPr>
        <w:pStyle w:val="BodyText"/>
        <w:rPr>
          <w:rFonts w:ascii="Times New Roman" w:hAnsi="Times New Roman"/>
          <w:color w:val="000000"/>
          <w:sz w:val="22"/>
        </w:rPr>
      </w:pPr>
      <w:r w:rsidRPr="00B179F1">
        <w:rPr>
          <w:rFonts w:ascii="Times New Roman" w:hAnsi="Times New Roman"/>
          <w:color w:val="000000"/>
          <w:sz w:val="22"/>
        </w:rPr>
        <w:t>Hepatic Impairment: no dose adjustment necessary</w:t>
      </w:r>
    </w:p>
    <w:p w:rsidR="002D622B" w:rsidRDefault="002D622B">
      <w:pPr>
        <w:rPr>
          <w:color w:val="000000"/>
        </w:rPr>
      </w:pPr>
    </w:p>
    <w:p w:rsidR="00D31FB0" w:rsidRDefault="00D31FB0" w:rsidP="00D31FB0">
      <w:pPr>
        <w:pStyle w:val="Heading1"/>
      </w:pPr>
      <w:r>
        <w:t>Storage</w:t>
      </w:r>
    </w:p>
    <w:p w:rsidR="00D31FB0" w:rsidRDefault="00D31FB0">
      <w:pPr>
        <w:rPr>
          <w:color w:val="000000"/>
        </w:rPr>
      </w:pPr>
      <w:r>
        <w:rPr>
          <w:color w:val="000000"/>
        </w:rPr>
        <w:t>Store at 25°C (77</w:t>
      </w:r>
      <w:r w:rsidRPr="00D31FB0">
        <w:rPr>
          <w:color w:val="000000"/>
        </w:rPr>
        <w:t>°</w:t>
      </w:r>
      <w:r>
        <w:rPr>
          <w:color w:val="000000"/>
        </w:rPr>
        <w:t>F); excursions permitted between 15</w:t>
      </w:r>
      <w:r w:rsidRPr="00D31FB0">
        <w:rPr>
          <w:color w:val="000000"/>
        </w:rPr>
        <w:t>°C</w:t>
      </w:r>
      <w:r>
        <w:rPr>
          <w:color w:val="000000"/>
        </w:rPr>
        <w:t xml:space="preserve"> and 30</w:t>
      </w:r>
      <w:r w:rsidRPr="00D31FB0">
        <w:rPr>
          <w:color w:val="000000"/>
        </w:rPr>
        <w:t>°C</w:t>
      </w:r>
      <w:r>
        <w:rPr>
          <w:color w:val="000000"/>
        </w:rPr>
        <w:t xml:space="preserve"> (59</w:t>
      </w:r>
      <w:r w:rsidRPr="00D31FB0">
        <w:rPr>
          <w:color w:val="000000"/>
        </w:rPr>
        <w:t>°F</w:t>
      </w:r>
      <w:r>
        <w:rPr>
          <w:color w:val="000000"/>
        </w:rPr>
        <w:t xml:space="preserve"> and 86</w:t>
      </w:r>
      <w:r w:rsidRPr="00D31FB0">
        <w:rPr>
          <w:color w:val="000000"/>
        </w:rPr>
        <w:t>°F</w:t>
      </w:r>
      <w:r>
        <w:rPr>
          <w:color w:val="000000"/>
        </w:rPr>
        <w:t>).</w:t>
      </w:r>
    </w:p>
    <w:p w:rsidR="00D31FB0" w:rsidRDefault="00D31FB0">
      <w:pPr>
        <w:rPr>
          <w:color w:val="000000"/>
        </w:rPr>
      </w:pPr>
      <w:r>
        <w:rPr>
          <w:color w:val="000000"/>
        </w:rPr>
        <w:t>Keep capsules in the original container.</w:t>
      </w:r>
      <w:r w:rsidR="00D82074">
        <w:rPr>
          <w:color w:val="000000"/>
        </w:rPr>
        <w:t xml:space="preserve"> </w:t>
      </w:r>
      <w:r>
        <w:rPr>
          <w:color w:val="000000"/>
        </w:rPr>
        <w:t>Do not subdivide or repackage.</w:t>
      </w:r>
    </w:p>
    <w:p w:rsidR="00D31FB0" w:rsidRDefault="00D31FB0">
      <w:pPr>
        <w:rPr>
          <w:color w:val="000000"/>
        </w:rPr>
      </w:pPr>
      <w:r>
        <w:rPr>
          <w:color w:val="000000"/>
        </w:rPr>
        <w:t>Protect from moisture. Do not remove desiccant from container.</w:t>
      </w:r>
      <w:r w:rsidR="00D82074">
        <w:rPr>
          <w:color w:val="000000"/>
        </w:rPr>
        <w:t xml:space="preserve"> </w:t>
      </w:r>
      <w:r>
        <w:rPr>
          <w:color w:val="000000"/>
        </w:rPr>
        <w:t>Keep bottles tightly closed in a dry place.</w:t>
      </w:r>
    </w:p>
    <w:p w:rsidR="00D31FB0" w:rsidRDefault="00D31FB0">
      <w:pPr>
        <w:rPr>
          <w:color w:val="000000"/>
        </w:rPr>
      </w:pPr>
    </w:p>
    <w:p w:rsidR="00F914D6" w:rsidRDefault="00F914D6" w:rsidP="00F914D6">
      <w:pPr>
        <w:pStyle w:val="Heading1"/>
      </w:pPr>
      <w:r>
        <w:t xml:space="preserve">Efficacy </w:t>
      </w:r>
    </w:p>
    <w:p w:rsidR="00F914D6" w:rsidRDefault="00F914D6" w:rsidP="00F914D6">
      <w:pPr>
        <w:pStyle w:val="Heading2"/>
      </w:pPr>
      <w:r>
        <w:t>Efficacy Measures</w:t>
      </w:r>
    </w:p>
    <w:p w:rsidR="00F914D6" w:rsidRDefault="00F914D6" w:rsidP="00F914D6">
      <w:r>
        <w:t xml:space="preserve">The chronic idiopathic constipation efficacy measure was </w:t>
      </w:r>
      <w:r w:rsidR="00601A01">
        <w:t xml:space="preserve">the rate of </w:t>
      </w:r>
      <w:r>
        <w:t>responders, which was defined as the percentage of patients with at least 3 complete spontaneous bowel movements and an increase from baseline of at least 1 complete spontaneous bowel movement during a particular week for at least 9 of the 12 weeks of the treatment period. A complete spontaneous bowel movement was defined as a bowel movement for which the patient reported a feeling of complete evacuation without the use of a laxative, enema, or suppository within the preceding 24 hours.</w:t>
      </w:r>
      <w:r w:rsidR="00C92AC9">
        <w:rPr>
          <w:rStyle w:val="EndnoteReference"/>
        </w:rPr>
        <w:endnoteReference w:id="2"/>
      </w:r>
      <w:r>
        <w:t xml:space="preserve"> </w:t>
      </w:r>
    </w:p>
    <w:p w:rsidR="00F914D6" w:rsidRDefault="00F914D6" w:rsidP="00F914D6"/>
    <w:p w:rsidR="00F914D6" w:rsidRDefault="00F914D6" w:rsidP="00F914D6">
      <w:r>
        <w:t xml:space="preserve">For IBS-C, the efficacy measure was also </w:t>
      </w:r>
      <w:r w:rsidR="00601A01">
        <w:t xml:space="preserve">rate of </w:t>
      </w:r>
      <w:r>
        <w:t xml:space="preserve">responders. Several definitions of responders were used that took into account improvements in abdominal pain from baseline and increases in complete spontaneous bowel movements.  One trial also </w:t>
      </w:r>
      <w:r w:rsidR="00601A01">
        <w:t>evaluated</w:t>
      </w:r>
      <w:r>
        <w:t xml:space="preserve"> patient assessment of overall IBS severity on a 5 point scale, with responders defined as those with at least a 1 point decrease in at least 6 of the 12 weeks. It also </w:t>
      </w:r>
      <w:r w:rsidR="00601A01">
        <w:t>evaluated</w:t>
      </w:r>
      <w:r>
        <w:t xml:space="preserve"> the percentage of patients who said they had adequate relief of their symptoms with the study treatment</w:t>
      </w:r>
      <w:proofErr w:type="gramStart"/>
      <w:r>
        <w:t>.</w:t>
      </w:r>
      <w:r w:rsidR="005E5627">
        <w:rPr>
          <w:rStyle w:val="EndnoteReference"/>
        </w:rPr>
        <w:endnoteReference w:id="3"/>
      </w:r>
      <w:r w:rsidR="00C81903">
        <w:rPr>
          <w:vertAlign w:val="superscript"/>
        </w:rPr>
        <w:t>,</w:t>
      </w:r>
      <w:proofErr w:type="gramEnd"/>
      <w:r w:rsidR="005E5627">
        <w:rPr>
          <w:rStyle w:val="EndnoteReference"/>
        </w:rPr>
        <w:endnoteReference w:id="4"/>
      </w:r>
    </w:p>
    <w:p w:rsidR="00F914D6" w:rsidRDefault="00F914D6" w:rsidP="00F914D6"/>
    <w:p w:rsidR="00F914D6" w:rsidRDefault="00F914D6" w:rsidP="00F914D6">
      <w:pPr>
        <w:pStyle w:val="Heading2"/>
      </w:pPr>
      <w:r>
        <w:t xml:space="preserve">Summary of efficacy findings </w:t>
      </w:r>
    </w:p>
    <w:p w:rsidR="00601A01" w:rsidRPr="00FB69ED" w:rsidRDefault="00601A01" w:rsidP="00D31FB0">
      <w:pPr>
        <w:keepNext/>
      </w:pPr>
    </w:p>
    <w:p w:rsidR="00F914D6" w:rsidRDefault="00F914D6" w:rsidP="00DB5971">
      <w:pPr>
        <w:pStyle w:val="Heading3"/>
      </w:pPr>
      <w:r>
        <w:t xml:space="preserve">Chronic idiopathic constipation: </w:t>
      </w:r>
    </w:p>
    <w:p w:rsidR="00F914D6" w:rsidRDefault="00F914D6" w:rsidP="00F914D6">
      <w:pPr>
        <w:numPr>
          <w:ilvl w:val="0"/>
          <w:numId w:val="25"/>
        </w:numPr>
      </w:pPr>
      <w:r>
        <w:t>Two high-quality RCTs consistently showed that linaclotide increased the rate of responders</w:t>
      </w:r>
      <w:r w:rsidR="00132AE9">
        <w:rPr>
          <w:vertAlign w:val="superscript"/>
        </w:rPr>
        <w:t>2</w:t>
      </w:r>
      <w:r>
        <w:t xml:space="preserve">: </w:t>
      </w:r>
    </w:p>
    <w:p w:rsidR="00F914D6" w:rsidRDefault="00F914D6" w:rsidP="00F914D6">
      <w:pPr>
        <w:numPr>
          <w:ilvl w:val="1"/>
          <w:numId w:val="25"/>
        </w:numPr>
      </w:pPr>
      <w:r>
        <w:t xml:space="preserve">Trial 01: </w:t>
      </w:r>
      <w:r w:rsidR="00601A01">
        <w:t xml:space="preserve"> </w:t>
      </w:r>
      <w:r>
        <w:t>6% placebo vs. 16</w:t>
      </w:r>
      <w:r w:rsidRPr="0076785B">
        <w:t>% linaclotide 145</w:t>
      </w:r>
      <w:r w:rsidR="00601A01">
        <w:t xml:space="preserve"> </w:t>
      </w:r>
      <w:r w:rsidRPr="0076785B">
        <w:t>mcg (NNT = 10.1) vs. 21.3% linaclotide 290</w:t>
      </w:r>
      <w:r w:rsidR="00601A01">
        <w:t xml:space="preserve"> </w:t>
      </w:r>
      <w:r w:rsidRPr="0076785B">
        <w:t>mcg (NNT = 6.6)</w:t>
      </w:r>
    </w:p>
    <w:p w:rsidR="00F914D6" w:rsidRDefault="00F914D6" w:rsidP="00F914D6">
      <w:pPr>
        <w:numPr>
          <w:ilvl w:val="1"/>
          <w:numId w:val="25"/>
        </w:numPr>
      </w:pPr>
      <w:r>
        <w:t xml:space="preserve">Trial 303: </w:t>
      </w:r>
      <w:r w:rsidR="00601A01">
        <w:t xml:space="preserve"> </w:t>
      </w:r>
      <w:r>
        <w:t>3.3% placebo vs. 21.2% linaclotide 145</w:t>
      </w:r>
      <w:r w:rsidR="00601A01">
        <w:t xml:space="preserve"> </w:t>
      </w:r>
      <w:r>
        <w:t>mcg (NNT = 5.6) vs. 19.4% linaclotide 290</w:t>
      </w:r>
      <w:r w:rsidR="00601A01">
        <w:t xml:space="preserve"> </w:t>
      </w:r>
      <w:r>
        <w:t>mcg (NNT = 6.2)</w:t>
      </w:r>
    </w:p>
    <w:p w:rsidR="00F914D6" w:rsidRDefault="00F914D6" w:rsidP="00F914D6">
      <w:pPr>
        <w:numPr>
          <w:ilvl w:val="0"/>
          <w:numId w:val="25"/>
        </w:numPr>
      </w:pPr>
      <w:r>
        <w:t>A meta-analysis of available treatments for chronic idiopathic constipation included placebo-controlled trials of laxatives, lubiprostone, and linaclotide</w:t>
      </w:r>
      <w:r w:rsidR="00AB48BE">
        <w:rPr>
          <w:rStyle w:val="EndnoteReference"/>
        </w:rPr>
        <w:endnoteReference w:id="5"/>
      </w:r>
    </w:p>
    <w:p w:rsidR="00F914D6" w:rsidRPr="00F15FB2" w:rsidRDefault="00F914D6" w:rsidP="00F914D6">
      <w:pPr>
        <w:numPr>
          <w:ilvl w:val="1"/>
          <w:numId w:val="25"/>
        </w:numPr>
      </w:pPr>
      <w:r w:rsidRPr="00F15FB2">
        <w:t xml:space="preserve">Laxatives: </w:t>
      </w:r>
      <w:r w:rsidR="00601A01">
        <w:t xml:space="preserve"> </w:t>
      </w:r>
      <w:r w:rsidRPr="00F15FB2">
        <w:t>40.1% failed to respond vs. 73.3% placebo, RR 0.52 (95% CI 0.46-0.60), NNT 3</w:t>
      </w:r>
    </w:p>
    <w:p w:rsidR="00F914D6" w:rsidRPr="00F15FB2" w:rsidRDefault="00F914D6" w:rsidP="00F914D6">
      <w:pPr>
        <w:numPr>
          <w:ilvl w:val="1"/>
          <w:numId w:val="25"/>
        </w:numPr>
      </w:pPr>
      <w:r w:rsidRPr="00F15FB2">
        <w:t xml:space="preserve">Lubiprostone: </w:t>
      </w:r>
      <w:r w:rsidR="00601A01">
        <w:t xml:space="preserve"> </w:t>
      </w:r>
      <w:r w:rsidRPr="00F15FB2">
        <w:t>45.1% failed to respond vs. 66.9% placebo, RR 0.67 (95% CI 0.56-0.80), NNT 4</w:t>
      </w:r>
    </w:p>
    <w:p w:rsidR="00F914D6" w:rsidRDefault="00F914D6" w:rsidP="00F914D6">
      <w:pPr>
        <w:numPr>
          <w:ilvl w:val="1"/>
          <w:numId w:val="25"/>
        </w:numPr>
      </w:pPr>
      <w:r>
        <w:t xml:space="preserve">Linaclotide: </w:t>
      </w:r>
      <w:r w:rsidR="00601A01">
        <w:t xml:space="preserve"> </w:t>
      </w:r>
      <w:r>
        <w:t>79.0% failed to respond vs. 94.9% placebo, RR 0.84 (95% CI 0.80-0.87), NNT 6</w:t>
      </w:r>
    </w:p>
    <w:p w:rsidR="00F914D6" w:rsidRDefault="00F914D6" w:rsidP="00F914D6"/>
    <w:p w:rsidR="00F914D6" w:rsidRDefault="00F914D6" w:rsidP="00DB5971">
      <w:pPr>
        <w:pStyle w:val="Heading3"/>
      </w:pPr>
      <w:r>
        <w:t>IBS-C:</w:t>
      </w:r>
    </w:p>
    <w:p w:rsidR="00F914D6" w:rsidRDefault="00F914D6" w:rsidP="00F914D6">
      <w:r>
        <w:t>Two high-quality RCTs consistently showed that linaclotide increased the rate of responders for all definitions of responder</w:t>
      </w:r>
      <w:r w:rsidR="00733605">
        <w:t>. In Rao, the average baseline severity was 3.7-3.8 on a 5 point scale, with 5 being the most severe</w:t>
      </w:r>
      <w:r w:rsidR="00AB48BE">
        <w:rPr>
          <w:vertAlign w:val="superscript"/>
        </w:rPr>
        <w:t>3</w:t>
      </w:r>
      <w:proofErr w:type="gramStart"/>
      <w:r w:rsidR="00AB48BE">
        <w:rPr>
          <w:vertAlign w:val="superscript"/>
        </w:rPr>
        <w:t>,4</w:t>
      </w:r>
      <w:proofErr w:type="gramEnd"/>
      <w:r>
        <w:t>:</w:t>
      </w:r>
    </w:p>
    <w:p w:rsidR="00F914D6" w:rsidRDefault="00F914D6" w:rsidP="00F914D6">
      <w:pPr>
        <w:numPr>
          <w:ilvl w:val="0"/>
          <w:numId w:val="25"/>
        </w:numPr>
      </w:pPr>
      <w:r w:rsidRPr="0076785B">
        <w:t>≥ 30% improvement in abdominal pain and ≥ 1 complete SBM increase in ≥ 6 of 12 weeks</w:t>
      </w:r>
      <w:r>
        <w:t>:</w:t>
      </w:r>
    </w:p>
    <w:p w:rsidR="00F914D6" w:rsidRDefault="00F914D6" w:rsidP="00F914D6">
      <w:pPr>
        <w:numPr>
          <w:ilvl w:val="1"/>
          <w:numId w:val="25"/>
        </w:numPr>
      </w:pPr>
      <w:proofErr w:type="spellStart"/>
      <w:r>
        <w:t>Chey</w:t>
      </w:r>
      <w:proofErr w:type="spellEnd"/>
      <w:r w:rsidR="00BD69E6">
        <w:t xml:space="preserve"> (2012)</w:t>
      </w:r>
      <w:r>
        <w:t xml:space="preserve">: </w:t>
      </w:r>
      <w:r w:rsidRPr="0076785B">
        <w:t>(Weeks 1-12)</w:t>
      </w:r>
      <w:r w:rsidR="00BD69E6">
        <w:t xml:space="preserve"> </w:t>
      </w:r>
      <w:r w:rsidRPr="0076785B">
        <w:t>13.9% placebo v</w:t>
      </w:r>
      <w:r>
        <w:t>s. 33.7% linaclotide</w:t>
      </w:r>
      <w:r w:rsidR="00BD69E6">
        <w:t xml:space="preserve"> </w:t>
      </w:r>
      <w:r>
        <w:t>(NNT = 5.1)</w:t>
      </w:r>
    </w:p>
    <w:p w:rsidR="00F914D6" w:rsidRDefault="00F914D6" w:rsidP="00F914D6">
      <w:pPr>
        <w:numPr>
          <w:ilvl w:val="1"/>
          <w:numId w:val="25"/>
        </w:numPr>
      </w:pPr>
      <w:r>
        <w:t>Rao</w:t>
      </w:r>
      <w:r w:rsidR="00BD69E6">
        <w:t xml:space="preserve"> (2012)</w:t>
      </w:r>
      <w:r>
        <w:t xml:space="preserve">: </w:t>
      </w:r>
      <w:r w:rsidRPr="0076785B">
        <w:t>21.0% placebo vs. 33.6% linaclotide, OR 1.9 (95% CI 1.4-2.7), p &lt;0.0001, NNT = 8</w:t>
      </w:r>
    </w:p>
    <w:p w:rsidR="00F914D6" w:rsidRDefault="00F914D6" w:rsidP="00F914D6">
      <w:pPr>
        <w:numPr>
          <w:ilvl w:val="0"/>
          <w:numId w:val="25"/>
        </w:numPr>
      </w:pPr>
      <w:r w:rsidRPr="0076785B">
        <w:t>≥ 30% improvement in abdominal pain and ≥ 1 complete</w:t>
      </w:r>
      <w:r>
        <w:t xml:space="preserve"> SBM increase in ≥ 13 of 26 weeks:</w:t>
      </w:r>
    </w:p>
    <w:p w:rsidR="00F914D6" w:rsidRDefault="00F914D6" w:rsidP="00F914D6">
      <w:pPr>
        <w:numPr>
          <w:ilvl w:val="1"/>
          <w:numId w:val="25"/>
        </w:numPr>
      </w:pPr>
      <w:proofErr w:type="spellStart"/>
      <w:r>
        <w:t>Chey</w:t>
      </w:r>
      <w:proofErr w:type="spellEnd"/>
      <w:r>
        <w:t xml:space="preserve">: </w:t>
      </w:r>
      <w:r w:rsidRPr="0076785B">
        <w:t>(Weeks 1-26) 13.2% placebo vs. 32.4% linaclotide (NNT = 5.2)</w:t>
      </w:r>
    </w:p>
    <w:p w:rsidR="00F914D6" w:rsidRDefault="00F914D6" w:rsidP="00F914D6">
      <w:pPr>
        <w:numPr>
          <w:ilvl w:val="0"/>
          <w:numId w:val="25"/>
        </w:numPr>
      </w:pPr>
      <w:r w:rsidRPr="0076785B">
        <w:t>≥ 30% improvement in abdominal pain for ≥ 9 of 12 weeks:</w:t>
      </w:r>
    </w:p>
    <w:p w:rsidR="00F914D6" w:rsidRDefault="00F914D6" w:rsidP="00F914D6">
      <w:pPr>
        <w:numPr>
          <w:ilvl w:val="1"/>
          <w:numId w:val="25"/>
        </w:numPr>
      </w:pPr>
      <w:proofErr w:type="spellStart"/>
      <w:r>
        <w:t>Chey</w:t>
      </w:r>
      <w:proofErr w:type="spellEnd"/>
      <w:r>
        <w:t xml:space="preserve">: </w:t>
      </w:r>
      <w:r w:rsidRPr="0076785B">
        <w:t>(Weeks 1-12) 19.6% placebo v</w:t>
      </w:r>
      <w:r>
        <w:t>s. 38.9% linaclotide</w:t>
      </w:r>
      <w:r w:rsidR="00BD69E6">
        <w:t xml:space="preserve"> </w:t>
      </w:r>
      <w:r>
        <w:t>(NNT = 5.2)</w:t>
      </w:r>
    </w:p>
    <w:p w:rsidR="00F914D6" w:rsidRDefault="00F914D6" w:rsidP="00F914D6">
      <w:pPr>
        <w:numPr>
          <w:ilvl w:val="1"/>
          <w:numId w:val="25"/>
        </w:numPr>
      </w:pPr>
      <w:r>
        <w:t xml:space="preserve">Rao: </w:t>
      </w:r>
      <w:r w:rsidRPr="0076785B">
        <w:t>27.1% placebo vs. 34.3% linaclotide, OR 1.4 (95% CI 1.0-1.9), p=0.0262, NNT=13.8</w:t>
      </w:r>
    </w:p>
    <w:p w:rsidR="00F914D6" w:rsidRDefault="00F914D6" w:rsidP="00F914D6">
      <w:pPr>
        <w:numPr>
          <w:ilvl w:val="0"/>
          <w:numId w:val="25"/>
        </w:numPr>
      </w:pPr>
      <w:r w:rsidRPr="0076785B">
        <w:t>≥ 30% impro</w:t>
      </w:r>
      <w:r>
        <w:t>vement in abdominal pain for ≥ 20 of 26</w:t>
      </w:r>
      <w:r w:rsidRPr="0076785B">
        <w:t xml:space="preserve"> weeks:</w:t>
      </w:r>
    </w:p>
    <w:p w:rsidR="00F914D6" w:rsidRDefault="00F914D6" w:rsidP="00F914D6">
      <w:pPr>
        <w:numPr>
          <w:ilvl w:val="1"/>
          <w:numId w:val="25"/>
        </w:numPr>
      </w:pPr>
      <w:proofErr w:type="spellStart"/>
      <w:r>
        <w:t>Chey</w:t>
      </w:r>
      <w:proofErr w:type="spellEnd"/>
      <w:r>
        <w:t xml:space="preserve">: </w:t>
      </w:r>
      <w:r w:rsidRPr="0076785B">
        <w:t>(Weeks 1-26) 17.4% placebo vs. 36.9% linaclotide (NNT = 5.1)</w:t>
      </w:r>
    </w:p>
    <w:p w:rsidR="00F914D6" w:rsidRDefault="00F914D6" w:rsidP="00F914D6">
      <w:pPr>
        <w:numPr>
          <w:ilvl w:val="0"/>
          <w:numId w:val="25"/>
        </w:numPr>
      </w:pPr>
      <w:r w:rsidRPr="0076785B">
        <w:t>≥ 3 complete SBM and increase of ≥ 1 from baseline for ≥ 9 of 12 weeks:</w:t>
      </w:r>
    </w:p>
    <w:p w:rsidR="00F914D6" w:rsidRDefault="00F914D6" w:rsidP="00F914D6">
      <w:pPr>
        <w:numPr>
          <w:ilvl w:val="1"/>
          <w:numId w:val="25"/>
        </w:numPr>
      </w:pPr>
      <w:proofErr w:type="spellStart"/>
      <w:r>
        <w:t>Chey</w:t>
      </w:r>
      <w:proofErr w:type="spellEnd"/>
      <w:r>
        <w:t xml:space="preserve">: </w:t>
      </w:r>
      <w:r w:rsidRPr="0076785B">
        <w:t>(Weeks 1-12) 5.0% placebo vs. 18.0% linaclotide (NNT = 7.7)</w:t>
      </w:r>
    </w:p>
    <w:p w:rsidR="00F914D6" w:rsidRDefault="00F914D6" w:rsidP="00F914D6">
      <w:pPr>
        <w:numPr>
          <w:ilvl w:val="1"/>
          <w:numId w:val="25"/>
        </w:numPr>
      </w:pPr>
      <w:r>
        <w:t xml:space="preserve">Rao: </w:t>
      </w:r>
      <w:r w:rsidRPr="0076785B">
        <w:t>6.3% placebo vs. 19.5% linaclotide, OR 3.7 (95% CI 2.3-5.9), p &lt; 0.0001, NNT = 7.6</w:t>
      </w:r>
    </w:p>
    <w:p w:rsidR="00F914D6" w:rsidRDefault="00F914D6" w:rsidP="00F914D6">
      <w:pPr>
        <w:numPr>
          <w:ilvl w:val="0"/>
          <w:numId w:val="25"/>
        </w:numPr>
      </w:pPr>
      <w:r w:rsidRPr="0076785B">
        <w:t>≥ 3 complete SBM and increase of ≥ 1 from baseline for ≥ 9 of 12 weeks:</w:t>
      </w:r>
    </w:p>
    <w:p w:rsidR="00F914D6" w:rsidRDefault="00F914D6" w:rsidP="00F914D6">
      <w:pPr>
        <w:numPr>
          <w:ilvl w:val="1"/>
          <w:numId w:val="25"/>
        </w:numPr>
      </w:pPr>
      <w:proofErr w:type="spellStart"/>
      <w:r>
        <w:t>Chey</w:t>
      </w:r>
      <w:proofErr w:type="spellEnd"/>
      <w:r>
        <w:t xml:space="preserve">: </w:t>
      </w:r>
      <w:r w:rsidRPr="0076785B">
        <w:t>(Weeks 1-26) 3.5% placebo vs</w:t>
      </w:r>
      <w:r>
        <w:t>. 15.7% linaclotide (NNT = 8.2)</w:t>
      </w:r>
    </w:p>
    <w:p w:rsidR="00F914D6" w:rsidRDefault="00F914D6" w:rsidP="00F914D6">
      <w:pPr>
        <w:numPr>
          <w:ilvl w:val="0"/>
          <w:numId w:val="25"/>
        </w:numPr>
      </w:pPr>
      <w:r w:rsidRPr="0076785B">
        <w:t>≥ 30% improvement in abdominal pain, ≥ 3 complete SBM and increase of ≥ 1 from baseline for ≥ 9 of 12 weeks:</w:t>
      </w:r>
    </w:p>
    <w:p w:rsidR="00F914D6" w:rsidRDefault="00F914D6" w:rsidP="00F914D6">
      <w:pPr>
        <w:numPr>
          <w:ilvl w:val="1"/>
          <w:numId w:val="25"/>
        </w:numPr>
      </w:pPr>
      <w:proofErr w:type="spellStart"/>
      <w:r>
        <w:t>Chey</w:t>
      </w:r>
      <w:proofErr w:type="spellEnd"/>
      <w:r>
        <w:t>: (Weeks 1-12) 3.0% placebo vs. 12.7% linaclotide (NNT = 10.3)</w:t>
      </w:r>
    </w:p>
    <w:p w:rsidR="00F914D6" w:rsidRDefault="00F914D6" w:rsidP="00F914D6">
      <w:pPr>
        <w:numPr>
          <w:ilvl w:val="1"/>
          <w:numId w:val="25"/>
        </w:numPr>
      </w:pPr>
      <w:r>
        <w:t xml:space="preserve">Rao: </w:t>
      </w:r>
      <w:r w:rsidRPr="0076785B">
        <w:t>5.1% placebo vs. 12.1% linaclotide, OR 2.6 (95% CI 1.5-4.5) p=0.0004, NNT=14.2</w:t>
      </w:r>
    </w:p>
    <w:p w:rsidR="00F914D6" w:rsidRDefault="00F914D6" w:rsidP="00F914D6">
      <w:pPr>
        <w:numPr>
          <w:ilvl w:val="0"/>
          <w:numId w:val="25"/>
        </w:numPr>
      </w:pPr>
      <w:r w:rsidRPr="0076785B">
        <w:t>≥ 30% improvement in abdominal pain, ≥ 3 complete SBM and incre</w:t>
      </w:r>
      <w:r>
        <w:t>ase of ≥ 1 from baseline for ≥ 20 of 26</w:t>
      </w:r>
      <w:r w:rsidRPr="0076785B">
        <w:t xml:space="preserve"> weeks:</w:t>
      </w:r>
    </w:p>
    <w:p w:rsidR="00F914D6" w:rsidRDefault="00F914D6" w:rsidP="00F914D6">
      <w:pPr>
        <w:numPr>
          <w:ilvl w:val="1"/>
          <w:numId w:val="25"/>
        </w:numPr>
      </w:pPr>
      <w:r>
        <w:t>(Weeks 1-26) 2.5% vs. 12.0% linaclotide (NNT = 10.5)</w:t>
      </w:r>
    </w:p>
    <w:p w:rsidR="00F914D6" w:rsidRDefault="00F914D6" w:rsidP="00F914D6">
      <w:pPr>
        <w:numPr>
          <w:ilvl w:val="0"/>
          <w:numId w:val="25"/>
        </w:numPr>
      </w:pPr>
      <w:r>
        <w:t>IBS severity responders:</w:t>
      </w:r>
    </w:p>
    <w:p w:rsidR="00F914D6" w:rsidRDefault="00F914D6" w:rsidP="00F914D6">
      <w:pPr>
        <w:numPr>
          <w:ilvl w:val="1"/>
          <w:numId w:val="25"/>
        </w:numPr>
      </w:pPr>
      <w:r>
        <w:t xml:space="preserve">Rao: </w:t>
      </w:r>
      <w:r w:rsidRPr="0076785B">
        <w:t>37.5% placebo vs. 56.3% linaclotide, p&lt;0.0001 NNT=5.3</w:t>
      </w:r>
    </w:p>
    <w:p w:rsidR="00F914D6" w:rsidRDefault="00F914D6" w:rsidP="00F914D6">
      <w:pPr>
        <w:numPr>
          <w:ilvl w:val="0"/>
          <w:numId w:val="25"/>
        </w:numPr>
      </w:pPr>
      <w:r>
        <w:t>Adequate relief of symptoms:</w:t>
      </w:r>
    </w:p>
    <w:p w:rsidR="00F914D6" w:rsidRDefault="00F914D6" w:rsidP="00F914D6">
      <w:pPr>
        <w:numPr>
          <w:ilvl w:val="1"/>
          <w:numId w:val="25"/>
        </w:numPr>
      </w:pPr>
      <w:r>
        <w:t>Rao: 34.2% placebo vs. 48.9% linaclotide, p&lt;0.0001 NNT 6.8</w:t>
      </w:r>
    </w:p>
    <w:p w:rsidR="00F914D6" w:rsidRDefault="00F914D6" w:rsidP="00F914D6"/>
    <w:p w:rsidR="00F914D6" w:rsidRDefault="00F914D6" w:rsidP="00F914D6"/>
    <w:p w:rsidR="00F914D6" w:rsidRDefault="00F914D6" w:rsidP="00F914D6">
      <w:pPr>
        <w:pStyle w:val="Header"/>
        <w:tabs>
          <w:tab w:val="clear" w:pos="4320"/>
          <w:tab w:val="clear" w:pos="8640"/>
        </w:tabs>
      </w:pPr>
      <w:r>
        <w:t xml:space="preserve">For further details on the efficacy results of the clinical trials, refer to </w:t>
      </w:r>
      <w:r>
        <w:rPr>
          <w:i/>
          <w:iCs/>
        </w:rPr>
        <w:fldChar w:fldCharType="begin"/>
      </w:r>
      <w:r>
        <w:rPr>
          <w:i/>
          <w:iCs/>
        </w:rPr>
        <w:instrText xml:space="preserve"> REF _Ref80503441 \h  \* MERGEFORMAT </w:instrText>
      </w:r>
      <w:r>
        <w:rPr>
          <w:i/>
          <w:iCs/>
        </w:rPr>
      </w:r>
      <w:r>
        <w:rPr>
          <w:i/>
          <w:iCs/>
        </w:rPr>
        <w:fldChar w:fldCharType="separate"/>
      </w:r>
      <w:r w:rsidR="00CA37CF" w:rsidRPr="00677A4E">
        <w:rPr>
          <w:i/>
          <w:iCs/>
        </w:rPr>
        <w:t>Appendix:  Clinical Trials</w:t>
      </w:r>
      <w:r>
        <w:rPr>
          <w:i/>
          <w:iCs/>
        </w:rPr>
        <w:fldChar w:fldCharType="end"/>
      </w:r>
      <w:r>
        <w:t xml:space="preserve"> (page </w:t>
      </w:r>
      <w:r w:rsidR="001B3205">
        <w:t>12</w:t>
      </w:r>
      <w:r>
        <w:t>).</w:t>
      </w:r>
    </w:p>
    <w:p w:rsidR="009E4E80" w:rsidRDefault="00537E8D" w:rsidP="001158DF">
      <w:pPr>
        <w:pStyle w:val="Heading1"/>
      </w:pPr>
      <w:r>
        <w:t>Adverse Events (Safety Data</w:t>
      </w:r>
      <w:proofErr w:type="gramStart"/>
      <w:r>
        <w:t>)</w:t>
      </w:r>
      <w:r w:rsidR="008726B9">
        <w:rPr>
          <w:vertAlign w:val="superscript"/>
        </w:rPr>
        <w:t>1</w:t>
      </w:r>
      <w:proofErr w:type="gramEnd"/>
      <w:r w:rsidR="008726B9">
        <w:rPr>
          <w:vertAlign w:val="superscript"/>
        </w:rPr>
        <w:t>,</w:t>
      </w:r>
      <w:r w:rsidR="008726B9">
        <w:rPr>
          <w:rStyle w:val="EndnoteReference"/>
        </w:rPr>
        <w:endnoteReference w:id="6"/>
      </w:r>
    </w:p>
    <w:p w:rsidR="00A736D4" w:rsidRDefault="00302A1E" w:rsidP="00A736D4">
      <w:r>
        <w:t xml:space="preserve">Adverse event data is available for 1275 CIC patients.  Of those, </w:t>
      </w:r>
      <w:r w:rsidR="00A736D4">
        <w:t xml:space="preserve">642 </w:t>
      </w:r>
      <w:r>
        <w:t>patients</w:t>
      </w:r>
      <w:r w:rsidR="00A736D4">
        <w:t xml:space="preserve"> had data available for</w:t>
      </w:r>
      <w:r>
        <w:t xml:space="preserve"> trials up to 26 weeks. </w:t>
      </w:r>
      <w:r w:rsidR="00A736D4">
        <w:t xml:space="preserve">Adverse event data is available for 1605 IBS-C patients.  Of those, 599 patients had data available for trials up to 26 weeks. </w:t>
      </w:r>
    </w:p>
    <w:p w:rsidR="00302A1E" w:rsidRDefault="00302A1E" w:rsidP="00DB5971"/>
    <w:p w:rsidR="00A943D4" w:rsidRPr="000730E6" w:rsidRDefault="000730E6" w:rsidP="00DB5971">
      <w:pPr>
        <w:rPr>
          <w:b/>
        </w:rPr>
      </w:pPr>
      <w:r>
        <w:rPr>
          <w:b/>
        </w:rPr>
        <w:t>CIC</w:t>
      </w:r>
    </w:p>
    <w:tbl>
      <w:tblPr>
        <w:tblStyle w:val="TableGrid"/>
        <w:tblW w:w="0" w:type="auto"/>
        <w:tblLook w:val="04A0" w:firstRow="1" w:lastRow="0" w:firstColumn="1" w:lastColumn="0" w:noHBand="0" w:noVBand="1"/>
      </w:tblPr>
      <w:tblGrid>
        <w:gridCol w:w="2976"/>
        <w:gridCol w:w="2936"/>
        <w:gridCol w:w="2944"/>
      </w:tblGrid>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Adverse Reactions</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proofErr w:type="spellStart"/>
            <w:r>
              <w:t>Linzess</w:t>
            </w:r>
            <w:proofErr w:type="spellEnd"/>
            <w:r>
              <w:t xml:space="preserve"> 145 mcg (n = 430) %</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Placebo (n = 423) %</w:t>
            </w:r>
          </w:p>
        </w:tc>
      </w:tr>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Diarrhea</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16</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5</w:t>
            </w:r>
          </w:p>
        </w:tc>
      </w:tr>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Abdominal pain</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7</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6</w:t>
            </w:r>
          </w:p>
        </w:tc>
      </w:tr>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Flatulence</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6</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5</w:t>
            </w:r>
          </w:p>
        </w:tc>
      </w:tr>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Abdominal distension</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3</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2</w:t>
            </w:r>
          </w:p>
        </w:tc>
      </w:tr>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Upper respiratory tract infection</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5</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4</w:t>
            </w:r>
          </w:p>
        </w:tc>
      </w:tr>
      <w:tr w:rsidR="000730E6" w:rsidTr="00D31FB0">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Sinusitis</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3</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sidP="00D31FB0">
            <w:r>
              <w:t>2</w:t>
            </w:r>
          </w:p>
        </w:tc>
      </w:tr>
    </w:tbl>
    <w:p w:rsidR="000730E6" w:rsidRDefault="000730E6" w:rsidP="00DB5971"/>
    <w:p w:rsidR="000730E6" w:rsidRPr="000730E6" w:rsidRDefault="000730E6" w:rsidP="00DB5971">
      <w:pPr>
        <w:rPr>
          <w:b/>
        </w:rPr>
      </w:pPr>
      <w:r w:rsidRPr="000730E6">
        <w:rPr>
          <w:b/>
        </w:rPr>
        <w:t>IBS-C</w:t>
      </w:r>
    </w:p>
    <w:tbl>
      <w:tblPr>
        <w:tblStyle w:val="TableGrid"/>
        <w:tblW w:w="0" w:type="auto"/>
        <w:tblLook w:val="04A0" w:firstRow="1" w:lastRow="0" w:firstColumn="1" w:lastColumn="0" w:noHBand="0" w:noVBand="1"/>
      </w:tblPr>
      <w:tblGrid>
        <w:gridCol w:w="3001"/>
        <w:gridCol w:w="2923"/>
        <w:gridCol w:w="2932"/>
      </w:tblGrid>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Adverse Reactions</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proofErr w:type="spellStart"/>
            <w:r>
              <w:t>Linzess</w:t>
            </w:r>
            <w:proofErr w:type="spellEnd"/>
            <w:r>
              <w:t xml:space="preserve"> 290 mcg (n = 807) %</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Placebo (n = 798) %</w:t>
            </w:r>
          </w:p>
        </w:tc>
      </w:tr>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Diarrhea</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20</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3</w:t>
            </w:r>
          </w:p>
        </w:tc>
      </w:tr>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Abdominal pain</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7</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5</w:t>
            </w:r>
          </w:p>
        </w:tc>
      </w:tr>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Flatulence</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4</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2</w:t>
            </w:r>
          </w:p>
        </w:tc>
      </w:tr>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Abdominal distension</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2</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1</w:t>
            </w:r>
          </w:p>
        </w:tc>
      </w:tr>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Viral gastroenteritis</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3</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1</w:t>
            </w:r>
          </w:p>
        </w:tc>
      </w:tr>
      <w:tr w:rsidR="000730E6" w:rsidTr="000730E6">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Headache</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4</w:t>
            </w:r>
          </w:p>
        </w:tc>
        <w:tc>
          <w:tcPr>
            <w:tcW w:w="3192" w:type="dxa"/>
            <w:tcBorders>
              <w:top w:val="single" w:sz="4" w:space="0" w:color="auto"/>
              <w:left w:val="single" w:sz="4" w:space="0" w:color="auto"/>
              <w:bottom w:val="single" w:sz="4" w:space="0" w:color="auto"/>
              <w:right w:val="single" w:sz="4" w:space="0" w:color="auto"/>
            </w:tcBorders>
            <w:hideMark/>
          </w:tcPr>
          <w:p w:rsidR="000730E6" w:rsidRDefault="000730E6">
            <w:r>
              <w:t>3</w:t>
            </w:r>
          </w:p>
        </w:tc>
      </w:tr>
    </w:tbl>
    <w:p w:rsidR="000730E6" w:rsidRDefault="000730E6" w:rsidP="000730E6">
      <w:pPr>
        <w:rPr>
          <w:rFonts w:asciiTheme="minorHAnsi" w:hAnsiTheme="minorHAnsi" w:cstheme="minorBidi"/>
          <w:szCs w:val="22"/>
        </w:rPr>
      </w:pPr>
    </w:p>
    <w:p w:rsidR="000730E6" w:rsidRDefault="000730E6" w:rsidP="000730E6"/>
    <w:p w:rsidR="000730E6" w:rsidRDefault="000730E6" w:rsidP="000730E6">
      <w:proofErr w:type="gramStart"/>
      <w:r>
        <w:t>When indirectly comparing the adverse event rates in patients taking linaclotide or lubiprostone for IBS-C it was found both had similar side effect profiles with diarrhea being a common problem among both medications.</w:t>
      </w:r>
      <w:proofErr w:type="gramEnd"/>
      <w:r>
        <w:t xml:space="preserve">  Patients taking lubiprostone experienced a considerable amount of nausea whereas those treated with linaclotide experience little or negligible amounts of nausea.  </w:t>
      </w:r>
      <w:r w:rsidR="007C0243">
        <w:t xml:space="preserve">Dyspnea was an uncommon but possible side effect with lubiprostone but not linaclotide. </w:t>
      </w:r>
      <w:r>
        <w:t xml:space="preserve"> </w:t>
      </w:r>
    </w:p>
    <w:p w:rsidR="007C0243" w:rsidRDefault="007C0243" w:rsidP="000730E6"/>
    <w:p w:rsidR="000730E6" w:rsidRDefault="000730E6" w:rsidP="000730E6">
      <w:proofErr w:type="gramStart"/>
      <w:r>
        <w:t>When indirectly comparing the adverse event rates in patients taking linaclotide or lubiprostone for CIC it was found both had similar side effect profiles with diarrhea being a common problem among both medications.</w:t>
      </w:r>
      <w:proofErr w:type="gramEnd"/>
      <w:r>
        <w:t xml:space="preserve">  Patients taking lubiprostone experienced a considerable amount of nausea whereas those treated with linaclotide experience little or negligible amounts of nausea.   </w:t>
      </w:r>
      <w:r w:rsidR="007C0243">
        <w:t xml:space="preserve">Dyspnea was an uncommon but possible side effect with lubiprostone but not linaclotide.  </w:t>
      </w:r>
    </w:p>
    <w:p w:rsidR="000730E6" w:rsidRDefault="000730E6" w:rsidP="00DB5971"/>
    <w:p w:rsidR="001158DF" w:rsidRDefault="001158DF" w:rsidP="001158DF">
      <w:pPr>
        <w:pStyle w:val="Table"/>
      </w:pPr>
    </w:p>
    <w:p w:rsidR="00537E8D" w:rsidRDefault="00537E8D">
      <w:pPr>
        <w:pStyle w:val="Heading2"/>
      </w:pPr>
      <w:r>
        <w:t xml:space="preserve">Deaths and Other Serious Adverse Events </w:t>
      </w:r>
    </w:p>
    <w:p w:rsidR="00F07B61" w:rsidRDefault="001158DF">
      <w:pPr>
        <w:rPr>
          <w:rFonts w:ascii="Arial" w:hAnsi="Arial" w:cs="Arial"/>
          <w:sz w:val="16"/>
        </w:rPr>
      </w:pPr>
      <w:r>
        <w:t>None</w:t>
      </w:r>
    </w:p>
    <w:p w:rsidR="001158DF" w:rsidRDefault="001158DF">
      <w:pPr>
        <w:pStyle w:val="Header"/>
        <w:tabs>
          <w:tab w:val="clear" w:pos="4320"/>
          <w:tab w:val="clear" w:pos="8640"/>
        </w:tabs>
      </w:pPr>
    </w:p>
    <w:p w:rsidR="00537E8D" w:rsidRDefault="00537E8D">
      <w:pPr>
        <w:pStyle w:val="Header"/>
        <w:tabs>
          <w:tab w:val="clear" w:pos="4320"/>
          <w:tab w:val="clear" w:pos="8640"/>
        </w:tabs>
      </w:pPr>
      <w:r>
        <w:t xml:space="preserve">For further details on the safety results of the clinical trials, refer to </w:t>
      </w:r>
      <w:r>
        <w:rPr>
          <w:i/>
          <w:iCs/>
        </w:rPr>
        <w:fldChar w:fldCharType="begin"/>
      </w:r>
      <w:r>
        <w:rPr>
          <w:i/>
          <w:iCs/>
        </w:rPr>
        <w:instrText xml:space="preserve"> REF _Ref80503441 \h  \* MERGEFORMAT </w:instrText>
      </w:r>
      <w:r>
        <w:rPr>
          <w:i/>
          <w:iCs/>
        </w:rPr>
      </w:r>
      <w:r>
        <w:rPr>
          <w:i/>
          <w:iCs/>
        </w:rPr>
        <w:fldChar w:fldCharType="separate"/>
      </w:r>
      <w:r w:rsidR="00CA37CF" w:rsidRPr="00677A4E">
        <w:rPr>
          <w:i/>
          <w:iCs/>
        </w:rPr>
        <w:t>Appendix:  Clinical Trials</w:t>
      </w:r>
      <w:r>
        <w:rPr>
          <w:i/>
          <w:iCs/>
        </w:rPr>
        <w:fldChar w:fldCharType="end"/>
      </w:r>
      <w:r>
        <w:t xml:space="preserve"> (page </w:t>
      </w:r>
      <w:r w:rsidR="0010596C">
        <w:t>12</w:t>
      </w:r>
      <w:r>
        <w:t>).</w:t>
      </w:r>
    </w:p>
    <w:p w:rsidR="00537E8D" w:rsidRDefault="00537E8D">
      <w:pPr>
        <w:rPr>
          <w:bCs/>
          <w:u w:val="single"/>
        </w:rPr>
      </w:pPr>
    </w:p>
    <w:p w:rsidR="00537E8D" w:rsidRDefault="00537E8D">
      <w:pPr>
        <w:pStyle w:val="Heading1"/>
      </w:pPr>
      <w:r>
        <w:t>Contraindications</w:t>
      </w:r>
    </w:p>
    <w:p w:rsidR="005E57B1" w:rsidRPr="00B74F46" w:rsidRDefault="005E57B1" w:rsidP="000020E4">
      <w:pPr>
        <w:pStyle w:val="BodyText"/>
        <w:rPr>
          <w:color w:val="000000"/>
        </w:rPr>
      </w:pPr>
      <w:r w:rsidRPr="00B74F46">
        <w:rPr>
          <w:color w:val="000000"/>
        </w:rPr>
        <w:t>Pediatric patients up to 6 years of age</w:t>
      </w:r>
    </w:p>
    <w:p w:rsidR="005E57B1" w:rsidRPr="00B74F46" w:rsidRDefault="005E57B1" w:rsidP="000020E4">
      <w:pPr>
        <w:pStyle w:val="BodyText"/>
        <w:rPr>
          <w:color w:val="000000"/>
        </w:rPr>
      </w:pPr>
      <w:r w:rsidRPr="00B74F46">
        <w:rPr>
          <w:color w:val="000000"/>
        </w:rPr>
        <w:t>Mechanical gastrointestinal obstruction, known or suspected</w:t>
      </w:r>
      <w:r w:rsidR="00B74F46">
        <w:rPr>
          <w:color w:val="000000"/>
          <w:vertAlign w:val="superscript"/>
        </w:rPr>
        <w:t>1</w:t>
      </w:r>
    </w:p>
    <w:p w:rsidR="005E57B1" w:rsidRDefault="005E57B1" w:rsidP="005E57B1"/>
    <w:p w:rsidR="005E57B1" w:rsidRDefault="00E95D62" w:rsidP="005E57B1">
      <w:pPr>
        <w:pStyle w:val="Heading1"/>
      </w:pPr>
      <w:r>
        <w:t xml:space="preserve">Warnings and </w:t>
      </w:r>
      <w:r w:rsidR="00537E8D">
        <w:t>Precautions</w:t>
      </w:r>
    </w:p>
    <w:p w:rsidR="005E57B1" w:rsidRPr="00EB3CD9" w:rsidRDefault="005E57B1" w:rsidP="000020E4">
      <w:pPr>
        <w:pStyle w:val="BodyText"/>
        <w:rPr>
          <w:color w:val="000000"/>
        </w:rPr>
      </w:pPr>
      <w:r w:rsidRPr="00EB3CD9">
        <w:rPr>
          <w:color w:val="000000"/>
        </w:rPr>
        <w:t>Pediatric patients, ages 6 through 17 years; avoid use</w:t>
      </w:r>
      <w:r w:rsidR="00A943D4">
        <w:rPr>
          <w:color w:val="000000"/>
        </w:rPr>
        <w:t>.</w:t>
      </w:r>
    </w:p>
    <w:p w:rsidR="005E57B1" w:rsidRPr="00EB3CD9" w:rsidRDefault="00A943D4" w:rsidP="000020E4">
      <w:pPr>
        <w:pStyle w:val="BodyText"/>
        <w:rPr>
          <w:color w:val="000000"/>
        </w:rPr>
      </w:pPr>
      <w:r>
        <w:rPr>
          <w:color w:val="000000"/>
        </w:rPr>
        <w:t>Severe d</w:t>
      </w:r>
      <w:r w:rsidR="005E57B1" w:rsidRPr="00EB3CD9">
        <w:rPr>
          <w:color w:val="000000"/>
        </w:rPr>
        <w:t>iarrhea has been reported; consider interruption of dose</w:t>
      </w:r>
      <w:r>
        <w:rPr>
          <w:color w:val="000000"/>
        </w:rPr>
        <w:t>.</w:t>
      </w:r>
    </w:p>
    <w:p w:rsidR="000020E4" w:rsidRPr="00EB3CD9" w:rsidRDefault="005E57B1" w:rsidP="000020E4">
      <w:pPr>
        <w:pStyle w:val="BodyText"/>
        <w:rPr>
          <w:color w:val="000000"/>
        </w:rPr>
      </w:pPr>
      <w:r w:rsidRPr="00EB3CD9">
        <w:rPr>
          <w:color w:val="000000"/>
        </w:rPr>
        <w:t xml:space="preserve">Report suspected adverse reactions to the US Food and Drug Administration at 1-800-FDA-1088 or </w:t>
      </w:r>
      <w:hyperlink r:id="rId10" w:history="1">
        <w:r w:rsidR="000020E4" w:rsidRPr="00EB3CD9">
          <w:rPr>
            <w:color w:val="000000"/>
          </w:rPr>
          <w:t>www.fda.gov/medwatch</w:t>
        </w:r>
      </w:hyperlink>
      <w:r w:rsidR="00A943D4">
        <w:rPr>
          <w:color w:val="000000"/>
        </w:rPr>
        <w:t>.</w:t>
      </w:r>
    </w:p>
    <w:p w:rsidR="00EB3CD9" w:rsidRPr="00EB3CD9" w:rsidRDefault="00EB3CD9" w:rsidP="000020E4">
      <w:pPr>
        <w:pStyle w:val="BodyText"/>
        <w:rPr>
          <w:color w:val="000000"/>
        </w:rPr>
      </w:pPr>
    </w:p>
    <w:p w:rsidR="000020E4" w:rsidRPr="00EB3CD9" w:rsidRDefault="000020E4" w:rsidP="000020E4">
      <w:pPr>
        <w:pStyle w:val="BodyText"/>
        <w:rPr>
          <w:color w:val="000000"/>
          <w:vertAlign w:val="superscript"/>
        </w:rPr>
      </w:pPr>
      <w:r w:rsidRPr="00EB3CD9">
        <w:rPr>
          <w:color w:val="000000"/>
        </w:rPr>
        <w:t>Pregnancy Category C</w:t>
      </w:r>
      <w:r w:rsidR="00F452D6" w:rsidRPr="00EB3CD9">
        <w:rPr>
          <w:color w:val="000000"/>
        </w:rPr>
        <w:t xml:space="preserve"> (All Trimesters): Either studies in animals have revealed adverse effects on the fetus (</w:t>
      </w:r>
      <w:proofErr w:type="spellStart"/>
      <w:r w:rsidR="00F452D6" w:rsidRPr="00EB3CD9">
        <w:rPr>
          <w:color w:val="000000"/>
        </w:rPr>
        <w:t>teratogenic</w:t>
      </w:r>
      <w:proofErr w:type="spellEnd"/>
      <w:r w:rsidR="00F452D6" w:rsidRPr="00EB3CD9">
        <w:rPr>
          <w:color w:val="000000"/>
        </w:rPr>
        <w:t xml:space="preserve"> or </w:t>
      </w:r>
      <w:proofErr w:type="spellStart"/>
      <w:r w:rsidR="00F452D6" w:rsidRPr="00EB3CD9">
        <w:rPr>
          <w:color w:val="000000"/>
        </w:rPr>
        <w:t>embryocidal</w:t>
      </w:r>
      <w:proofErr w:type="spellEnd"/>
      <w:r w:rsidR="00F452D6" w:rsidRPr="00EB3CD9">
        <w:rPr>
          <w:color w:val="000000"/>
        </w:rPr>
        <w:t xml:space="preserve"> or other) and there are no controlled studies in women or studies in women and animals are not available. Drugs should be given only if the potential benefit justifies the potential risk to the fetus.</w:t>
      </w:r>
      <w:r w:rsidR="00EB3CD9">
        <w:rPr>
          <w:color w:val="000000"/>
          <w:vertAlign w:val="superscript"/>
        </w:rPr>
        <w:t>1</w:t>
      </w:r>
    </w:p>
    <w:p w:rsidR="0038158D" w:rsidRDefault="0038158D" w:rsidP="00E95D62">
      <w:pPr>
        <w:rPr>
          <w:rFonts w:ascii="Arial" w:hAnsi="Arial" w:cs="Arial"/>
          <w:sz w:val="20"/>
        </w:rPr>
      </w:pPr>
    </w:p>
    <w:p w:rsidR="0038158D" w:rsidRDefault="00A943D4" w:rsidP="0038158D">
      <w:pPr>
        <w:pStyle w:val="Heading1"/>
      </w:pPr>
      <w:r>
        <w:t xml:space="preserve">Specific </w:t>
      </w:r>
      <w:r w:rsidR="0038158D">
        <w:t>Populations</w:t>
      </w:r>
    </w:p>
    <w:p w:rsidR="00F452D6" w:rsidRPr="00EB3CD9" w:rsidRDefault="00F452D6" w:rsidP="00F452D6">
      <w:r w:rsidRPr="00EB3CD9">
        <w:t>Renal Impairment: no dose adjustment necessary</w:t>
      </w:r>
    </w:p>
    <w:p w:rsidR="00F452D6" w:rsidRPr="00EB3CD9" w:rsidRDefault="00F452D6" w:rsidP="00F452D6">
      <w:pPr>
        <w:rPr>
          <w:vertAlign w:val="superscript"/>
        </w:rPr>
      </w:pPr>
      <w:r w:rsidRPr="00EB3CD9">
        <w:t>Hepatic Impairment: no dose adjustment necessary</w:t>
      </w:r>
      <w:r w:rsidR="00EB3CD9">
        <w:rPr>
          <w:vertAlign w:val="superscript"/>
        </w:rPr>
        <w:t>1</w:t>
      </w:r>
    </w:p>
    <w:p w:rsidR="0038158D" w:rsidRPr="00E95D62" w:rsidRDefault="0038158D" w:rsidP="00E95D62">
      <w:pPr>
        <w:rPr>
          <w:rFonts w:ascii="Arial" w:hAnsi="Arial" w:cs="Arial"/>
          <w:sz w:val="20"/>
        </w:rPr>
      </w:pPr>
    </w:p>
    <w:p w:rsidR="00054692" w:rsidRPr="00054692" w:rsidRDefault="00054692" w:rsidP="00F65446">
      <w:pPr>
        <w:pStyle w:val="Heading1"/>
      </w:pPr>
      <w:r w:rsidRPr="00054692">
        <w:t>Sentinel Events</w:t>
      </w:r>
    </w:p>
    <w:p w:rsidR="00054692" w:rsidRPr="00054692" w:rsidRDefault="0010596C" w:rsidP="00054692">
      <w:r>
        <w:t>No data</w:t>
      </w:r>
    </w:p>
    <w:p w:rsidR="00054692" w:rsidRPr="00054692" w:rsidRDefault="00054692" w:rsidP="00054692"/>
    <w:p w:rsidR="00537E8D" w:rsidRDefault="00537E8D">
      <w:pPr>
        <w:pStyle w:val="Heading1"/>
      </w:pPr>
      <w:r>
        <w:t>Look-alike / Sound-alike (LA / SA) Error Risk Potential</w:t>
      </w:r>
    </w:p>
    <w:p w:rsidR="00A943D4" w:rsidRDefault="00A943D4" w:rsidP="00A943D4">
      <w:r>
        <w:t xml:space="preserve">As part of a </w:t>
      </w:r>
      <w:r w:rsidRPr="00F202F3">
        <w:rPr>
          <w:color w:val="403152"/>
        </w:rPr>
        <w:t xml:space="preserve">Joint Commission </w:t>
      </w:r>
      <w:r w:rsidRPr="00F202F3">
        <w:t>standard</w:t>
      </w:r>
      <w:r w:rsidRPr="00BA550F">
        <w:t xml:space="preserve">, LASA names are assessed during the formulary selection of drugs.  Based on clinical judgment and an evaluation of LASA information from </w:t>
      </w:r>
      <w:r>
        <w:t xml:space="preserve">three </w:t>
      </w:r>
      <w:r w:rsidRPr="004F3CCC">
        <w:rPr>
          <w:strike/>
        </w:rPr>
        <w:t>four</w:t>
      </w:r>
      <w:r w:rsidRPr="00BA550F">
        <w:t xml:space="preserve"> data sources (Lexi-Comp, </w:t>
      </w:r>
      <w:r w:rsidRPr="00CE4350">
        <w:rPr>
          <w:strike/>
        </w:rPr>
        <w:t>USP Online LASA Finder,</w:t>
      </w:r>
      <w:r w:rsidRPr="00BA550F">
        <w:t xml:space="preserve"> First Databank, and ISMP Confused Drug Name List), the following drug names may cause LASA confusion</w:t>
      </w:r>
      <w:r>
        <w:t>:</w:t>
      </w:r>
    </w:p>
    <w:p w:rsidR="00020DBB" w:rsidRDefault="00020DBB">
      <w:pPr>
        <w:pStyle w:val="BodyText"/>
      </w:pPr>
    </w:p>
    <w:tbl>
      <w:tblPr>
        <w:tblW w:w="3471" w:type="pct"/>
        <w:jc w:val="center"/>
        <w:tblCellMar>
          <w:left w:w="0" w:type="dxa"/>
          <w:right w:w="0" w:type="dxa"/>
        </w:tblCellMar>
        <w:tblLook w:val="04A0" w:firstRow="1" w:lastRow="0" w:firstColumn="1" w:lastColumn="0" w:noHBand="0" w:noVBand="1"/>
      </w:tblPr>
      <w:tblGrid>
        <w:gridCol w:w="1829"/>
        <w:gridCol w:w="973"/>
        <w:gridCol w:w="1016"/>
        <w:gridCol w:w="927"/>
        <w:gridCol w:w="1403"/>
      </w:tblGrid>
      <w:tr w:rsidR="00A943D4" w:rsidRPr="00A943D4" w:rsidTr="00DF1FFC">
        <w:trPr>
          <w:jc w:val="center"/>
        </w:trPr>
        <w:tc>
          <w:tcPr>
            <w:tcW w:w="1488"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A943D4" w:rsidRPr="000566E9" w:rsidRDefault="00A943D4">
            <w:pPr>
              <w:rPr>
                <w:rFonts w:ascii="Arial" w:eastAsia="Calibri" w:hAnsi="Arial" w:cs="Arial"/>
                <w:sz w:val="18"/>
              </w:rPr>
            </w:pPr>
            <w:r w:rsidRPr="000566E9">
              <w:rPr>
                <w:rFonts w:ascii="Arial" w:hAnsi="Arial" w:cs="Arial"/>
                <w:sz w:val="18"/>
              </w:rPr>
              <w:t>NME Drug Name</w:t>
            </w:r>
          </w:p>
        </w:tc>
        <w:tc>
          <w:tcPr>
            <w:tcW w:w="791"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A943D4" w:rsidRPr="000566E9" w:rsidRDefault="00A943D4">
            <w:pPr>
              <w:rPr>
                <w:rFonts w:ascii="Arial" w:eastAsia="Calibri" w:hAnsi="Arial" w:cs="Arial"/>
                <w:sz w:val="18"/>
              </w:rPr>
            </w:pPr>
            <w:r w:rsidRPr="000566E9">
              <w:rPr>
                <w:rFonts w:ascii="Arial" w:hAnsi="Arial" w:cs="Arial"/>
                <w:sz w:val="18"/>
              </w:rPr>
              <w:t>Lexi-Comp</w:t>
            </w:r>
          </w:p>
        </w:tc>
        <w:tc>
          <w:tcPr>
            <w:tcW w:w="826"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A943D4" w:rsidRPr="000566E9" w:rsidRDefault="00A943D4">
            <w:pPr>
              <w:rPr>
                <w:rFonts w:ascii="Arial" w:eastAsia="Calibri" w:hAnsi="Arial" w:cs="Arial"/>
                <w:sz w:val="18"/>
              </w:rPr>
            </w:pPr>
            <w:r w:rsidRPr="000566E9">
              <w:rPr>
                <w:rFonts w:ascii="Arial" w:hAnsi="Arial" w:cs="Arial"/>
                <w:sz w:val="18"/>
              </w:rPr>
              <w:t xml:space="preserve">First </w:t>
            </w:r>
            <w:proofErr w:type="spellStart"/>
            <w:r w:rsidRPr="000566E9">
              <w:rPr>
                <w:rFonts w:ascii="Arial" w:hAnsi="Arial" w:cs="Arial"/>
                <w:sz w:val="18"/>
              </w:rPr>
              <w:t>DataBank</w:t>
            </w:r>
            <w:proofErr w:type="spellEnd"/>
          </w:p>
        </w:tc>
        <w:tc>
          <w:tcPr>
            <w:tcW w:w="754" w:type="pct"/>
            <w:tcBorders>
              <w:top w:val="single" w:sz="8" w:space="0" w:color="000000"/>
              <w:left w:val="nil"/>
              <w:bottom w:val="single" w:sz="8" w:space="0" w:color="000000"/>
              <w:right w:val="single" w:sz="8" w:space="0" w:color="000000"/>
            </w:tcBorders>
            <w:shd w:val="clear" w:color="auto" w:fill="EEECE1"/>
            <w:tcMar>
              <w:top w:w="0" w:type="dxa"/>
              <w:left w:w="108" w:type="dxa"/>
              <w:bottom w:w="0" w:type="dxa"/>
              <w:right w:w="108" w:type="dxa"/>
            </w:tcMar>
            <w:hideMark/>
          </w:tcPr>
          <w:p w:rsidR="00A943D4" w:rsidRPr="000566E9" w:rsidRDefault="00A943D4">
            <w:pPr>
              <w:rPr>
                <w:rFonts w:ascii="Arial" w:eastAsia="Calibri" w:hAnsi="Arial" w:cs="Arial"/>
                <w:sz w:val="18"/>
              </w:rPr>
            </w:pPr>
            <w:r w:rsidRPr="000566E9">
              <w:rPr>
                <w:rFonts w:ascii="Arial" w:hAnsi="Arial" w:cs="Arial"/>
                <w:sz w:val="18"/>
              </w:rPr>
              <w:t>ISMP</w:t>
            </w:r>
          </w:p>
        </w:tc>
        <w:tc>
          <w:tcPr>
            <w:tcW w:w="1141" w:type="pct"/>
            <w:tcBorders>
              <w:top w:val="single" w:sz="8" w:space="0" w:color="000000"/>
              <w:left w:val="nil"/>
              <w:bottom w:val="single" w:sz="8" w:space="0" w:color="000000"/>
            </w:tcBorders>
            <w:shd w:val="clear" w:color="auto" w:fill="EEECE1"/>
            <w:tcMar>
              <w:top w:w="0" w:type="dxa"/>
              <w:left w:w="108" w:type="dxa"/>
              <w:bottom w:w="0" w:type="dxa"/>
              <w:right w:w="108" w:type="dxa"/>
            </w:tcMar>
            <w:hideMark/>
          </w:tcPr>
          <w:p w:rsidR="00A943D4" w:rsidRPr="000566E9" w:rsidRDefault="00A943D4">
            <w:pPr>
              <w:rPr>
                <w:rFonts w:ascii="Arial" w:eastAsia="Calibri" w:hAnsi="Arial" w:cs="Arial"/>
                <w:sz w:val="18"/>
              </w:rPr>
            </w:pPr>
            <w:r w:rsidRPr="000566E9">
              <w:rPr>
                <w:rFonts w:ascii="Arial" w:hAnsi="Arial" w:cs="Arial"/>
                <w:sz w:val="18"/>
              </w:rPr>
              <w:t>Clinical Judgment</w:t>
            </w:r>
          </w:p>
        </w:tc>
      </w:tr>
      <w:tr w:rsidR="00A943D4" w:rsidRPr="00A943D4" w:rsidTr="00DF1FFC">
        <w:trPr>
          <w:jc w:val="center"/>
        </w:trPr>
        <w:tc>
          <w:tcPr>
            <w:tcW w:w="1488" w:type="pct"/>
            <w:tcBorders>
              <w:top w:val="nil"/>
              <w:left w:val="nil"/>
              <w:bottom w:val="nil"/>
              <w:right w:val="single" w:sz="8" w:space="0" w:color="000000"/>
            </w:tcBorders>
            <w:tcMar>
              <w:top w:w="0" w:type="dxa"/>
              <w:left w:w="108" w:type="dxa"/>
              <w:bottom w:w="0" w:type="dxa"/>
              <w:right w:w="108" w:type="dxa"/>
            </w:tcMar>
          </w:tcPr>
          <w:p w:rsidR="00A943D4" w:rsidRPr="000566E9" w:rsidRDefault="00A943D4">
            <w:pPr>
              <w:pStyle w:val="NoSpacing"/>
              <w:rPr>
                <w:rFonts w:ascii="Arial" w:hAnsi="Arial" w:cs="Arial"/>
                <w:sz w:val="18"/>
                <w:szCs w:val="20"/>
              </w:rPr>
            </w:pPr>
            <w:r w:rsidRPr="000566E9">
              <w:rPr>
                <w:rFonts w:ascii="Arial" w:hAnsi="Arial" w:cs="Arial"/>
                <w:sz w:val="18"/>
                <w:szCs w:val="20"/>
              </w:rPr>
              <w:t xml:space="preserve">Linaclotide </w:t>
            </w:r>
          </w:p>
          <w:p w:rsidR="00A943D4" w:rsidRPr="000566E9" w:rsidRDefault="00A943D4">
            <w:pPr>
              <w:pStyle w:val="NoSpacing"/>
              <w:rPr>
                <w:rFonts w:ascii="Arial" w:hAnsi="Arial" w:cs="Arial"/>
                <w:sz w:val="18"/>
              </w:rPr>
            </w:pPr>
          </w:p>
        </w:tc>
        <w:tc>
          <w:tcPr>
            <w:tcW w:w="791" w:type="pct"/>
            <w:tcBorders>
              <w:top w:val="nil"/>
              <w:left w:val="nil"/>
              <w:bottom w:val="nil"/>
              <w:right w:val="single" w:sz="8" w:space="0" w:color="000000"/>
            </w:tcBorders>
            <w:tcMar>
              <w:top w:w="0" w:type="dxa"/>
              <w:left w:w="108" w:type="dxa"/>
              <w:bottom w:w="0" w:type="dxa"/>
              <w:right w:w="108" w:type="dxa"/>
            </w:tcMar>
          </w:tcPr>
          <w:p w:rsidR="00A943D4" w:rsidRPr="000566E9" w:rsidRDefault="00A943D4">
            <w:pPr>
              <w:rPr>
                <w:rFonts w:ascii="Arial" w:eastAsia="Calibri" w:hAnsi="Arial" w:cs="Arial"/>
                <w:sz w:val="18"/>
              </w:rPr>
            </w:pPr>
            <w:r w:rsidRPr="000566E9">
              <w:rPr>
                <w:rFonts w:ascii="Arial" w:hAnsi="Arial" w:cs="Arial"/>
                <w:sz w:val="18"/>
              </w:rPr>
              <w:t>None</w:t>
            </w:r>
          </w:p>
          <w:p w:rsidR="00A943D4" w:rsidRPr="000566E9" w:rsidRDefault="00A943D4">
            <w:pPr>
              <w:rPr>
                <w:rFonts w:ascii="Arial" w:eastAsia="Calibri" w:hAnsi="Arial" w:cs="Arial"/>
                <w:sz w:val="18"/>
              </w:rPr>
            </w:pPr>
          </w:p>
        </w:tc>
        <w:tc>
          <w:tcPr>
            <w:tcW w:w="826" w:type="pct"/>
            <w:tcBorders>
              <w:top w:val="nil"/>
              <w:left w:val="nil"/>
              <w:bottom w:val="nil"/>
              <w:right w:val="single" w:sz="8" w:space="0" w:color="000000"/>
            </w:tcBorders>
            <w:tcMar>
              <w:top w:w="0" w:type="dxa"/>
              <w:left w:w="108" w:type="dxa"/>
              <w:bottom w:w="0" w:type="dxa"/>
              <w:right w:w="108" w:type="dxa"/>
            </w:tcMar>
          </w:tcPr>
          <w:p w:rsidR="00A943D4" w:rsidRPr="000566E9" w:rsidRDefault="00A943D4">
            <w:pPr>
              <w:rPr>
                <w:rFonts w:ascii="Arial" w:eastAsia="Calibri" w:hAnsi="Arial" w:cs="Arial"/>
                <w:sz w:val="18"/>
              </w:rPr>
            </w:pPr>
            <w:r w:rsidRPr="000566E9">
              <w:rPr>
                <w:rFonts w:ascii="Arial" w:hAnsi="Arial" w:cs="Arial"/>
                <w:sz w:val="18"/>
              </w:rPr>
              <w:t>None</w:t>
            </w:r>
          </w:p>
          <w:p w:rsidR="00A943D4" w:rsidRPr="000566E9" w:rsidRDefault="00A943D4">
            <w:pPr>
              <w:rPr>
                <w:rFonts w:ascii="Arial" w:eastAsia="Calibri" w:hAnsi="Arial" w:cs="Arial"/>
                <w:sz w:val="18"/>
              </w:rPr>
            </w:pPr>
          </w:p>
        </w:tc>
        <w:tc>
          <w:tcPr>
            <w:tcW w:w="754" w:type="pct"/>
            <w:tcBorders>
              <w:top w:val="nil"/>
              <w:left w:val="nil"/>
              <w:bottom w:val="nil"/>
              <w:right w:val="single" w:sz="8" w:space="0" w:color="000000"/>
            </w:tcBorders>
            <w:tcMar>
              <w:top w:w="0" w:type="dxa"/>
              <w:left w:w="108" w:type="dxa"/>
              <w:bottom w:w="0" w:type="dxa"/>
              <w:right w:w="108" w:type="dxa"/>
            </w:tcMar>
          </w:tcPr>
          <w:p w:rsidR="00A943D4" w:rsidRPr="000566E9" w:rsidRDefault="00A943D4">
            <w:pPr>
              <w:rPr>
                <w:rFonts w:ascii="Arial" w:eastAsia="Calibri" w:hAnsi="Arial" w:cs="Arial"/>
                <w:sz w:val="18"/>
              </w:rPr>
            </w:pPr>
            <w:r w:rsidRPr="000566E9">
              <w:rPr>
                <w:rFonts w:ascii="Arial" w:hAnsi="Arial" w:cs="Arial"/>
                <w:sz w:val="18"/>
              </w:rPr>
              <w:t>None</w:t>
            </w:r>
          </w:p>
          <w:p w:rsidR="00A943D4" w:rsidRPr="000566E9" w:rsidRDefault="00A943D4">
            <w:pPr>
              <w:rPr>
                <w:rFonts w:ascii="Arial" w:eastAsia="Calibri" w:hAnsi="Arial" w:cs="Arial"/>
                <w:sz w:val="18"/>
              </w:rPr>
            </w:pPr>
          </w:p>
        </w:tc>
        <w:tc>
          <w:tcPr>
            <w:tcW w:w="1141" w:type="pct"/>
            <w:tcBorders>
              <w:top w:val="single" w:sz="8" w:space="0" w:color="000000"/>
              <w:left w:val="nil"/>
            </w:tcBorders>
            <w:tcMar>
              <w:top w:w="0" w:type="dxa"/>
              <w:left w:w="108" w:type="dxa"/>
              <w:bottom w:w="0" w:type="dxa"/>
              <w:right w:w="108" w:type="dxa"/>
            </w:tcMar>
          </w:tcPr>
          <w:p w:rsidR="00A943D4" w:rsidRPr="000566E9" w:rsidRDefault="00A943D4">
            <w:pPr>
              <w:rPr>
                <w:rFonts w:ascii="Arial" w:eastAsia="Calibri" w:hAnsi="Arial" w:cs="Arial"/>
                <w:sz w:val="18"/>
              </w:rPr>
            </w:pPr>
            <w:proofErr w:type="spellStart"/>
            <w:r w:rsidRPr="000566E9">
              <w:rPr>
                <w:rFonts w:ascii="Arial" w:hAnsi="Arial" w:cs="Arial"/>
                <w:sz w:val="18"/>
              </w:rPr>
              <w:t>Lanreotide</w:t>
            </w:r>
            <w:proofErr w:type="spellEnd"/>
          </w:p>
          <w:p w:rsidR="00A943D4" w:rsidRPr="000566E9" w:rsidRDefault="00A943D4">
            <w:pPr>
              <w:rPr>
                <w:rFonts w:ascii="Arial" w:hAnsi="Arial" w:cs="Arial"/>
                <w:sz w:val="18"/>
              </w:rPr>
            </w:pPr>
            <w:proofErr w:type="spellStart"/>
            <w:r w:rsidRPr="000566E9">
              <w:rPr>
                <w:rFonts w:ascii="Arial" w:hAnsi="Arial" w:cs="Arial"/>
                <w:sz w:val="18"/>
              </w:rPr>
              <w:t>Lacosamide</w:t>
            </w:r>
            <w:proofErr w:type="spellEnd"/>
          </w:p>
          <w:p w:rsidR="00A943D4" w:rsidRPr="000566E9" w:rsidRDefault="00A943D4">
            <w:pPr>
              <w:rPr>
                <w:rFonts w:ascii="Arial" w:hAnsi="Arial" w:cs="Arial"/>
                <w:sz w:val="18"/>
              </w:rPr>
            </w:pPr>
            <w:proofErr w:type="spellStart"/>
            <w:r w:rsidRPr="000566E9">
              <w:rPr>
                <w:rFonts w:ascii="Arial" w:hAnsi="Arial" w:cs="Arial"/>
                <w:sz w:val="18"/>
              </w:rPr>
              <w:t>Liraglutide</w:t>
            </w:r>
            <w:proofErr w:type="spellEnd"/>
          </w:p>
          <w:p w:rsidR="00A943D4" w:rsidRPr="000566E9" w:rsidRDefault="00A943D4">
            <w:pPr>
              <w:rPr>
                <w:rFonts w:ascii="Arial" w:eastAsia="Calibri" w:hAnsi="Arial" w:cs="Arial"/>
                <w:sz w:val="18"/>
              </w:rPr>
            </w:pPr>
          </w:p>
        </w:tc>
      </w:tr>
      <w:tr w:rsidR="00A943D4" w:rsidRPr="00A943D4" w:rsidTr="00DF1FFC">
        <w:trPr>
          <w:jc w:val="center"/>
        </w:trPr>
        <w:tc>
          <w:tcPr>
            <w:tcW w:w="1488" w:type="pct"/>
            <w:tcBorders>
              <w:top w:val="nil"/>
              <w:left w:val="nil"/>
              <w:bottom w:val="single" w:sz="8" w:space="0" w:color="000000"/>
              <w:right w:val="single" w:sz="8" w:space="0" w:color="000000"/>
            </w:tcBorders>
            <w:tcMar>
              <w:top w:w="0" w:type="dxa"/>
              <w:left w:w="108" w:type="dxa"/>
              <w:bottom w:w="0" w:type="dxa"/>
              <w:right w:w="108" w:type="dxa"/>
            </w:tcMar>
          </w:tcPr>
          <w:p w:rsidR="00A943D4" w:rsidRPr="00A943D4" w:rsidRDefault="00A943D4">
            <w:pPr>
              <w:pStyle w:val="NoSpacing"/>
              <w:rPr>
                <w:rFonts w:ascii="Arial" w:hAnsi="Arial" w:cs="Arial"/>
                <w:sz w:val="18"/>
                <w:szCs w:val="20"/>
              </w:rPr>
            </w:pPr>
            <w:proofErr w:type="spellStart"/>
            <w:r w:rsidRPr="00DF2529">
              <w:rPr>
                <w:rFonts w:ascii="Arial" w:hAnsi="Arial" w:cs="Arial"/>
                <w:sz w:val="18"/>
                <w:szCs w:val="20"/>
              </w:rPr>
              <w:t>Linzess</w:t>
            </w:r>
            <w:proofErr w:type="spellEnd"/>
          </w:p>
        </w:tc>
        <w:tc>
          <w:tcPr>
            <w:tcW w:w="791" w:type="pct"/>
            <w:tcBorders>
              <w:top w:val="nil"/>
              <w:left w:val="nil"/>
              <w:bottom w:val="single" w:sz="8" w:space="0" w:color="000000"/>
              <w:right w:val="single" w:sz="8" w:space="0" w:color="000000"/>
            </w:tcBorders>
            <w:tcMar>
              <w:top w:w="0" w:type="dxa"/>
              <w:left w:w="108" w:type="dxa"/>
              <w:bottom w:w="0" w:type="dxa"/>
              <w:right w:w="108" w:type="dxa"/>
            </w:tcMar>
          </w:tcPr>
          <w:p w:rsidR="00A943D4" w:rsidRPr="00A943D4" w:rsidRDefault="00A943D4">
            <w:pPr>
              <w:rPr>
                <w:rFonts w:ascii="Arial" w:hAnsi="Arial" w:cs="Arial"/>
                <w:sz w:val="18"/>
              </w:rPr>
            </w:pPr>
            <w:r w:rsidRPr="00D26CC8">
              <w:rPr>
                <w:rFonts w:ascii="Arial" w:hAnsi="Arial" w:cs="Arial"/>
                <w:sz w:val="18"/>
              </w:rPr>
              <w:t>None</w:t>
            </w:r>
          </w:p>
        </w:tc>
        <w:tc>
          <w:tcPr>
            <w:tcW w:w="826" w:type="pct"/>
            <w:tcBorders>
              <w:top w:val="nil"/>
              <w:left w:val="nil"/>
              <w:bottom w:val="single" w:sz="8" w:space="0" w:color="000000"/>
              <w:right w:val="single" w:sz="8" w:space="0" w:color="000000"/>
            </w:tcBorders>
            <w:tcMar>
              <w:top w:w="0" w:type="dxa"/>
              <w:left w:w="108" w:type="dxa"/>
              <w:bottom w:w="0" w:type="dxa"/>
              <w:right w:w="108" w:type="dxa"/>
            </w:tcMar>
          </w:tcPr>
          <w:p w:rsidR="00A943D4" w:rsidRPr="00A943D4" w:rsidRDefault="00A943D4">
            <w:pPr>
              <w:rPr>
                <w:rFonts w:ascii="Arial" w:hAnsi="Arial" w:cs="Arial"/>
                <w:sz w:val="18"/>
              </w:rPr>
            </w:pPr>
            <w:r w:rsidRPr="007933D5">
              <w:rPr>
                <w:rFonts w:ascii="Arial" w:hAnsi="Arial" w:cs="Arial"/>
                <w:sz w:val="18"/>
              </w:rPr>
              <w:t>None</w:t>
            </w:r>
          </w:p>
        </w:tc>
        <w:tc>
          <w:tcPr>
            <w:tcW w:w="754" w:type="pct"/>
            <w:tcBorders>
              <w:top w:val="nil"/>
              <w:left w:val="nil"/>
              <w:bottom w:val="single" w:sz="8" w:space="0" w:color="000000"/>
              <w:right w:val="single" w:sz="8" w:space="0" w:color="000000"/>
            </w:tcBorders>
            <w:tcMar>
              <w:top w:w="0" w:type="dxa"/>
              <w:left w:w="108" w:type="dxa"/>
              <w:bottom w:w="0" w:type="dxa"/>
              <w:right w:w="108" w:type="dxa"/>
            </w:tcMar>
          </w:tcPr>
          <w:p w:rsidR="00A943D4" w:rsidRPr="00A943D4" w:rsidRDefault="00A943D4">
            <w:pPr>
              <w:rPr>
                <w:rFonts w:ascii="Arial" w:hAnsi="Arial" w:cs="Arial"/>
                <w:sz w:val="18"/>
              </w:rPr>
            </w:pPr>
            <w:r w:rsidRPr="00AF6C9B">
              <w:rPr>
                <w:rFonts w:ascii="Arial" w:hAnsi="Arial" w:cs="Arial"/>
                <w:sz w:val="18"/>
              </w:rPr>
              <w:t>None</w:t>
            </w:r>
          </w:p>
        </w:tc>
        <w:tc>
          <w:tcPr>
            <w:tcW w:w="1141" w:type="pct"/>
            <w:tcBorders>
              <w:top w:val="nil"/>
              <w:left w:val="nil"/>
              <w:bottom w:val="single" w:sz="8" w:space="0" w:color="000000"/>
            </w:tcBorders>
            <w:tcMar>
              <w:top w:w="0" w:type="dxa"/>
              <w:left w:w="108" w:type="dxa"/>
              <w:bottom w:w="0" w:type="dxa"/>
              <w:right w:w="108" w:type="dxa"/>
            </w:tcMar>
          </w:tcPr>
          <w:p w:rsidR="00A943D4" w:rsidRPr="00D5040F" w:rsidRDefault="00A943D4" w:rsidP="00A943D4">
            <w:pPr>
              <w:rPr>
                <w:rFonts w:ascii="Arial" w:hAnsi="Arial" w:cs="Arial"/>
                <w:sz w:val="18"/>
              </w:rPr>
            </w:pPr>
            <w:proofErr w:type="spellStart"/>
            <w:r w:rsidRPr="00D5040F">
              <w:rPr>
                <w:rFonts w:ascii="Arial" w:hAnsi="Arial" w:cs="Arial"/>
                <w:sz w:val="18"/>
              </w:rPr>
              <w:t>Lessina</w:t>
            </w:r>
            <w:proofErr w:type="spellEnd"/>
          </w:p>
          <w:p w:rsidR="00A943D4" w:rsidRPr="00A943D4" w:rsidRDefault="00A943D4" w:rsidP="00A943D4">
            <w:pPr>
              <w:rPr>
                <w:rFonts w:ascii="Arial" w:hAnsi="Arial" w:cs="Arial"/>
                <w:sz w:val="18"/>
              </w:rPr>
            </w:pPr>
            <w:r w:rsidRPr="00D5040F">
              <w:rPr>
                <w:rFonts w:ascii="Arial" w:hAnsi="Arial" w:cs="Arial"/>
                <w:sz w:val="18"/>
              </w:rPr>
              <w:t>Linezolid</w:t>
            </w:r>
          </w:p>
        </w:tc>
      </w:tr>
    </w:tbl>
    <w:p w:rsidR="00020DBB" w:rsidRDefault="00020DBB">
      <w:pPr>
        <w:pStyle w:val="BodyText"/>
      </w:pPr>
    </w:p>
    <w:p w:rsidR="00537E8D" w:rsidRDefault="00537E8D">
      <w:pPr>
        <w:pStyle w:val="Heading1"/>
      </w:pPr>
      <w:r>
        <w:t>Drug Interactions</w:t>
      </w:r>
    </w:p>
    <w:p w:rsidR="00537E8D" w:rsidRDefault="00537E8D">
      <w:pPr>
        <w:pStyle w:val="Heading2"/>
      </w:pPr>
      <w:r>
        <w:t>Drug-Drug Interactions</w:t>
      </w:r>
    </w:p>
    <w:p w:rsidR="00D1348F" w:rsidRPr="002F3A43" w:rsidRDefault="00D1348F">
      <w:pPr>
        <w:rPr>
          <w:vertAlign w:val="superscript"/>
        </w:rPr>
      </w:pPr>
      <w:r w:rsidRPr="002F3A43">
        <w:t>None have been identified</w:t>
      </w:r>
      <w:r w:rsidR="002F3A43">
        <w:rPr>
          <w:vertAlign w:val="superscript"/>
        </w:rPr>
        <w:t>1</w:t>
      </w:r>
    </w:p>
    <w:p w:rsidR="002D622B" w:rsidRDefault="002D622B"/>
    <w:p w:rsidR="00537E8D" w:rsidRDefault="00537E8D">
      <w:pPr>
        <w:pStyle w:val="Heading2"/>
      </w:pPr>
      <w:r>
        <w:t>Drug-Lab Interactions</w:t>
      </w:r>
    </w:p>
    <w:p w:rsidR="00D1348F" w:rsidRPr="002F3A43" w:rsidRDefault="00D1348F" w:rsidP="00D1348F">
      <w:pPr>
        <w:rPr>
          <w:vertAlign w:val="superscript"/>
        </w:rPr>
      </w:pPr>
      <w:r w:rsidRPr="002F3A43">
        <w:t>None have been identified</w:t>
      </w:r>
      <w:r w:rsidR="002F3A43">
        <w:rPr>
          <w:vertAlign w:val="superscript"/>
        </w:rPr>
        <w:t>1</w:t>
      </w:r>
    </w:p>
    <w:p w:rsidR="00537E8D" w:rsidRDefault="00537E8D"/>
    <w:p w:rsidR="00D34068" w:rsidRDefault="00D34068" w:rsidP="007D447A"/>
    <w:p w:rsidR="00537E8D" w:rsidRDefault="00537E8D">
      <w:pPr>
        <w:pStyle w:val="Heading1"/>
      </w:pPr>
      <w:proofErr w:type="spellStart"/>
      <w:r>
        <w:t>Pharmacoeconomic</w:t>
      </w:r>
      <w:proofErr w:type="spellEnd"/>
      <w:r>
        <w:t xml:space="preserve"> Analysis</w:t>
      </w:r>
    </w:p>
    <w:p w:rsidR="00537E8D" w:rsidRDefault="00D1348F">
      <w:r w:rsidRPr="002E3B55">
        <w:t xml:space="preserve">There are no published </w:t>
      </w:r>
      <w:proofErr w:type="spellStart"/>
      <w:r w:rsidRPr="002E3B55">
        <w:t>pharmacoeconomic</w:t>
      </w:r>
      <w:proofErr w:type="spellEnd"/>
      <w:r w:rsidRPr="002E3B55">
        <w:t xml:space="preserve"> evaluations of this drug</w:t>
      </w:r>
      <w:r w:rsidR="007C52B3">
        <w:t>.</w:t>
      </w:r>
    </w:p>
    <w:p w:rsidR="002D622B" w:rsidRDefault="002D622B"/>
    <w:p w:rsidR="00537E8D" w:rsidRDefault="00537E8D">
      <w:pPr>
        <w:pStyle w:val="Heading1"/>
      </w:pPr>
      <w:r>
        <w:t>Conclusion</w:t>
      </w:r>
    </w:p>
    <w:p w:rsidR="00C720C4" w:rsidRDefault="00C720C4" w:rsidP="00677A4E">
      <w:pPr>
        <w:pStyle w:val="ListBullet2"/>
        <w:numPr>
          <w:ilvl w:val="0"/>
          <w:numId w:val="0"/>
        </w:numPr>
      </w:pPr>
      <w:bookmarkStart w:id="1" w:name="Conclusion"/>
      <w:r>
        <w:t xml:space="preserve">Prescription medication options are limited for patients with chronic idiopathic constipation (CIC) or irritable bowel syndrome with a constipation component (IBS-C). </w:t>
      </w:r>
      <w:r w:rsidR="007B6399">
        <w:t>L</w:t>
      </w:r>
      <w:r>
        <w:t>inaclotide was shown to be an effective and safe medication in the treatment of adults with CIC or</w:t>
      </w:r>
      <w:r w:rsidRPr="007C52B3">
        <w:t xml:space="preserve"> </w:t>
      </w:r>
      <w:r>
        <w:t>IBS-C. Lubiprostone</w:t>
      </w:r>
      <w:r w:rsidR="00F84DF7">
        <w:t>, a chloride channel activator,</w:t>
      </w:r>
      <w:r>
        <w:t xml:space="preserve"> is the only other option available to treat patients with </w:t>
      </w:r>
      <w:r w:rsidR="007B6399">
        <w:t>these conditions</w:t>
      </w:r>
      <w:r>
        <w:t>, and currently there are no head-to-head trials comparing the two medications. Based on indirect comparisons of placebo-controlled trial results, neither agent seems to be superior to the other in regards to efficacy. Both have similar adverse event profiles</w:t>
      </w:r>
      <w:r w:rsidR="00F84DF7">
        <w:t>,</w:t>
      </w:r>
      <w:r>
        <w:t xml:space="preserve"> with diarrhea being a common problem with each medication. Nausea </w:t>
      </w:r>
      <w:r w:rsidR="00F84DF7">
        <w:t xml:space="preserve">and dyspnea, both of which may be severe, </w:t>
      </w:r>
      <w:r>
        <w:t xml:space="preserve">seem to be more common in lubiprostone treated patients based on indirect comparisons. </w:t>
      </w:r>
      <w:r w:rsidR="00F84DF7">
        <w:t>T</w:t>
      </w:r>
      <w:r>
        <w:t xml:space="preserve">here is more </w:t>
      </w:r>
      <w:r w:rsidR="00F84DF7">
        <w:t xml:space="preserve">clinical </w:t>
      </w:r>
      <w:r>
        <w:t>experience with lubiprostone</w:t>
      </w:r>
      <w:r w:rsidR="002E124F">
        <w:t xml:space="preserve">, </w:t>
      </w:r>
      <w:r w:rsidR="007B6399">
        <w:t>but both agents lack</w:t>
      </w:r>
      <w:r w:rsidR="002E124F">
        <w:t xml:space="preserve"> long-term safety data</w:t>
      </w:r>
      <w:r w:rsidR="007B6399">
        <w:t>. H</w:t>
      </w:r>
      <w:r w:rsidR="00F84DF7">
        <w:t>owever, neither drug is systemically absorbed at detectable levels.</w:t>
      </w:r>
      <w:r>
        <w:t xml:space="preserve"> </w:t>
      </w:r>
      <w:r w:rsidR="007B6399">
        <w:t xml:space="preserve">Patient adherence may be easier with linaclotide, as it is dosed once daily whereas lubiprostone is twice daily. </w:t>
      </w:r>
      <w:r w:rsidR="009B1C50">
        <w:t xml:space="preserve">Linaclotide is also slightly less expensive than lubiprostone. </w:t>
      </w:r>
      <w:r w:rsidR="007B6399">
        <w:t xml:space="preserve">For CIC, the American Gastroenterological Association considers lubiprostone and linaclotide to be third line agents in patients whose symptoms do not respond to fiber and laxatives. </w:t>
      </w:r>
      <w:r w:rsidR="009B1C50">
        <w:t xml:space="preserve">At this time, guidelines do not make specific recommendations for one agent over another in the treatment of IBS-C. Expert opinion suggests initiating pharmacologic therapy in patients with moderate symptoms, with the choice of agent based on patient-specific response. </w:t>
      </w:r>
      <w:r>
        <w:t xml:space="preserve">Head-to-head trials are needed </w:t>
      </w:r>
      <w:r w:rsidR="00906FDB">
        <w:t xml:space="preserve">in both conditions </w:t>
      </w:r>
      <w:r>
        <w:t>to determine whether one agent is better than the other</w:t>
      </w:r>
      <w:r w:rsidR="008E2B7E">
        <w:t>s</w:t>
      </w:r>
      <w:r>
        <w:t>.</w:t>
      </w:r>
      <w:bookmarkEnd w:id="1"/>
    </w:p>
    <w:p w:rsidR="003D09B2" w:rsidRDefault="003D09B2" w:rsidP="003D09B2">
      <w:pPr>
        <w:pStyle w:val="Heading1"/>
      </w:pPr>
      <w:r>
        <w:br w:type="page"/>
        <w:t>References</w:t>
      </w:r>
    </w:p>
    <w:p w:rsidR="003D09B2" w:rsidRDefault="003D09B2"/>
    <w:p w:rsidR="00C9327F" w:rsidRDefault="00C9327F">
      <w:pPr>
        <w:rPr>
          <w:bCs/>
          <w:color w:val="000000"/>
        </w:rPr>
        <w:sectPr w:rsidR="00C9327F" w:rsidSect="00D611F9">
          <w:headerReference w:type="default" r:id="rId11"/>
          <w:footerReference w:type="default" r:id="rId12"/>
          <w:endnotePr>
            <w:numFmt w:val="decimal"/>
          </w:endnotePr>
          <w:pgSz w:w="12240" w:h="15840"/>
          <w:pgMar w:top="1440" w:right="1800" w:bottom="1440" w:left="1800" w:header="720" w:footer="606" w:gutter="0"/>
          <w:cols w:space="720"/>
          <w:titlePg/>
          <w:docGrid w:linePitch="299"/>
        </w:sectPr>
      </w:pPr>
    </w:p>
    <w:p w:rsidR="00537E8D" w:rsidRDefault="00537E8D">
      <w:pPr>
        <w:rPr>
          <w:bCs/>
          <w:color w:val="000000"/>
        </w:rPr>
      </w:pPr>
    </w:p>
    <w:p w:rsidR="00537E8D" w:rsidRDefault="00537E8D">
      <w:pPr>
        <w:pStyle w:val="FootnoteText"/>
        <w:rPr>
          <w:rFonts w:ascii="Arial" w:hAnsi="Arial"/>
          <w:color w:val="000000"/>
        </w:rPr>
      </w:pPr>
    </w:p>
    <w:p w:rsidR="00C9327F" w:rsidRDefault="00C9327F">
      <w:pPr>
        <w:pStyle w:val="FootnoteText"/>
        <w:rPr>
          <w:rFonts w:ascii="Arial" w:hAnsi="Arial"/>
          <w:color w:val="000000"/>
        </w:rPr>
      </w:pPr>
    </w:p>
    <w:p w:rsidR="00537E8D" w:rsidRDefault="00537E8D">
      <w:pPr>
        <w:pStyle w:val="FootnoteText"/>
        <w:rPr>
          <w:rFonts w:ascii="Arial" w:hAnsi="Arial"/>
          <w:b/>
          <w:color w:val="000000"/>
          <w:u w:val="single"/>
        </w:rPr>
      </w:pPr>
    </w:p>
    <w:p w:rsidR="00537E8D" w:rsidRDefault="00537E8D">
      <w:pPr>
        <w:pStyle w:val="FootnoteText"/>
        <w:pBdr>
          <w:top w:val="single" w:sz="4" w:space="1" w:color="auto"/>
          <w:bottom w:val="single" w:sz="4" w:space="1" w:color="auto"/>
        </w:pBdr>
        <w:rPr>
          <w:rFonts w:ascii="Arial" w:hAnsi="Arial"/>
          <w:b/>
          <w:color w:val="000000"/>
        </w:rPr>
      </w:pPr>
      <w:r>
        <w:rPr>
          <w:rFonts w:ascii="Arial" w:hAnsi="Arial"/>
          <w:b/>
          <w:color w:val="000000"/>
        </w:rPr>
        <w:t xml:space="preserve">Prepared </w:t>
      </w:r>
      <w:r w:rsidR="00CE2C28">
        <w:rPr>
          <w:rFonts w:ascii="Arial" w:hAnsi="Arial"/>
          <w:b/>
          <w:color w:val="000000"/>
        </w:rPr>
        <w:t>1/2014</w:t>
      </w:r>
      <w:r w:rsidR="000566E9">
        <w:rPr>
          <w:rFonts w:ascii="Arial" w:hAnsi="Arial"/>
          <w:b/>
          <w:color w:val="000000"/>
        </w:rPr>
        <w:t xml:space="preserve"> by Emily Carr, </w:t>
      </w:r>
      <w:proofErr w:type="spellStart"/>
      <w:r w:rsidR="000566E9">
        <w:rPr>
          <w:rFonts w:ascii="Arial" w:hAnsi="Arial"/>
          <w:b/>
          <w:color w:val="000000"/>
        </w:rPr>
        <w:t>PharmD</w:t>
      </w:r>
      <w:proofErr w:type="spellEnd"/>
      <w:r w:rsidR="000566E9">
        <w:rPr>
          <w:rFonts w:ascii="Arial" w:hAnsi="Arial"/>
          <w:b/>
          <w:color w:val="000000"/>
        </w:rPr>
        <w:t xml:space="preserve">, </w:t>
      </w:r>
      <w:r w:rsidR="00CE2C28">
        <w:rPr>
          <w:rFonts w:ascii="Arial" w:hAnsi="Arial"/>
          <w:b/>
          <w:color w:val="000000"/>
        </w:rPr>
        <w:t xml:space="preserve">and </w:t>
      </w:r>
      <w:r w:rsidR="000566E9">
        <w:rPr>
          <w:rFonts w:ascii="Arial" w:hAnsi="Arial"/>
          <w:b/>
          <w:color w:val="000000"/>
        </w:rPr>
        <w:t xml:space="preserve">Sean Kubik, </w:t>
      </w:r>
      <w:proofErr w:type="spellStart"/>
      <w:r w:rsidR="000566E9">
        <w:rPr>
          <w:rFonts w:ascii="Arial" w:hAnsi="Arial"/>
          <w:b/>
          <w:color w:val="000000"/>
        </w:rPr>
        <w:t>PharmD</w:t>
      </w:r>
      <w:proofErr w:type="spellEnd"/>
      <w:r>
        <w:rPr>
          <w:rFonts w:ascii="Arial" w:hAnsi="Arial"/>
          <w:b/>
          <w:color w:val="000000"/>
        </w:rPr>
        <w:t xml:space="preserve"> </w:t>
      </w:r>
    </w:p>
    <w:p w:rsidR="002D0FE9" w:rsidRDefault="002D0FE9">
      <w:pPr>
        <w:pStyle w:val="FootnoteText"/>
        <w:pBdr>
          <w:top w:val="single" w:sz="4" w:space="1" w:color="auto"/>
          <w:bottom w:val="single" w:sz="4" w:space="1" w:color="auto"/>
        </w:pBdr>
        <w:rPr>
          <w:rFonts w:ascii="Arial" w:hAnsi="Arial"/>
          <w:b/>
          <w:color w:val="000000"/>
        </w:rPr>
      </w:pPr>
    </w:p>
    <w:p w:rsidR="00C720C4" w:rsidRDefault="00C720C4">
      <w:pPr>
        <w:pStyle w:val="FootnoteText"/>
        <w:pBdr>
          <w:top w:val="single" w:sz="4" w:space="1" w:color="auto"/>
          <w:bottom w:val="single" w:sz="4" w:space="1" w:color="auto"/>
        </w:pBdr>
        <w:rPr>
          <w:rFonts w:ascii="Arial" w:hAnsi="Arial"/>
          <w:b/>
          <w:color w:val="000000"/>
        </w:rPr>
      </w:pPr>
      <w:r>
        <w:rPr>
          <w:rFonts w:ascii="Arial" w:hAnsi="Arial"/>
          <w:b/>
          <w:color w:val="000000"/>
        </w:rPr>
        <w:t xml:space="preserve">Contact Person:  Francine Goodman, </w:t>
      </w:r>
      <w:proofErr w:type="spellStart"/>
      <w:r>
        <w:rPr>
          <w:rFonts w:ascii="Arial" w:hAnsi="Arial"/>
          <w:b/>
          <w:color w:val="000000"/>
        </w:rPr>
        <w:t>PharmD</w:t>
      </w:r>
      <w:proofErr w:type="spellEnd"/>
      <w:r>
        <w:rPr>
          <w:rFonts w:ascii="Arial" w:hAnsi="Arial"/>
          <w:b/>
          <w:color w:val="000000"/>
        </w:rPr>
        <w:t>, BCPS</w:t>
      </w:r>
      <w:r w:rsidR="002D0FE9">
        <w:rPr>
          <w:rFonts w:ascii="Arial" w:hAnsi="Arial"/>
          <w:b/>
          <w:color w:val="000000"/>
        </w:rPr>
        <w:t xml:space="preserve">. </w:t>
      </w:r>
      <w:proofErr w:type="gramStart"/>
      <w:r w:rsidR="002D0FE9">
        <w:rPr>
          <w:rFonts w:ascii="Arial" w:hAnsi="Arial"/>
          <w:b/>
          <w:color w:val="000000"/>
        </w:rPr>
        <w:t>National Clinical Pharmacy Program Manager.</w:t>
      </w:r>
      <w:proofErr w:type="gramEnd"/>
      <w:r w:rsidR="002D0FE9">
        <w:rPr>
          <w:rFonts w:ascii="Arial" w:hAnsi="Arial"/>
          <w:b/>
          <w:color w:val="000000"/>
        </w:rPr>
        <w:t xml:space="preserve"> PBM Services (10P4P)</w:t>
      </w:r>
    </w:p>
    <w:p w:rsidR="00537E8D" w:rsidRDefault="00537E8D"/>
    <w:p w:rsidR="00537E8D" w:rsidRDefault="00537E8D"/>
    <w:p w:rsidR="00537E8D" w:rsidRDefault="00537E8D">
      <w:pPr>
        <w:rPr>
          <w:u w:val="single"/>
        </w:rPr>
      </w:pPr>
      <w:r>
        <w:rPr>
          <w:u w:val="single"/>
        </w:rPr>
        <w:t xml:space="preserve"> </w:t>
      </w:r>
    </w:p>
    <w:p w:rsidR="00537E8D" w:rsidRDefault="00537E8D"/>
    <w:p w:rsidR="00A97819" w:rsidRDefault="00A97819">
      <w:pPr>
        <w:pStyle w:val="Heading1"/>
        <w:rPr>
          <w:sz w:val="20"/>
        </w:rPr>
        <w:sectPr w:rsidR="00A97819" w:rsidSect="003D09B2">
          <w:type w:val="continuous"/>
          <w:pgSz w:w="12240" w:h="15840"/>
          <w:pgMar w:top="1440" w:right="1800" w:bottom="1440" w:left="1800" w:header="720" w:footer="606" w:gutter="0"/>
          <w:cols w:space="720"/>
        </w:sectPr>
      </w:pPr>
    </w:p>
    <w:p w:rsidR="00537E8D" w:rsidRDefault="00C9327F">
      <w:pPr>
        <w:pStyle w:val="Heading1"/>
      </w:pPr>
      <w:bookmarkStart w:id="2" w:name="_Ref80503441"/>
      <w:r>
        <w:t>A</w:t>
      </w:r>
      <w:r w:rsidR="00537E8D">
        <w:t>ppendix:  Clinical Trials</w:t>
      </w:r>
      <w:bookmarkEnd w:id="2"/>
    </w:p>
    <w:p w:rsidR="00D646B3" w:rsidRPr="00D646B3" w:rsidRDefault="00D646B3" w:rsidP="00D646B3">
      <w:r>
        <w:t xml:space="preserve">A literature search was performed on PubMed (1966 to August 2004) using the search terms </w:t>
      </w:r>
      <w:proofErr w:type="spellStart"/>
      <w:r>
        <w:t>linaclotide</w:t>
      </w:r>
      <w:proofErr w:type="spellEnd"/>
      <w:r>
        <w:t xml:space="preserve"> and </w:t>
      </w:r>
      <w:proofErr w:type="spellStart"/>
      <w:r>
        <w:t>Linzess</w:t>
      </w:r>
      <w:proofErr w:type="spellEnd"/>
      <w:r>
        <w:t>. The search was limited to studies performed in humans and published in English language. Reference lists of review articles and the manufacturer’s AMCP dossier were searched for relevant clinical trials. All randomized controlled trials published in peer-reviewed journals were included.</w:t>
      </w:r>
    </w:p>
    <w:p w:rsidR="00537E8D" w:rsidRDefault="00537E8D">
      <w:pPr>
        <w:pStyle w:val="Caption"/>
        <w:sectPr w:rsidR="00537E8D" w:rsidSect="00A97819">
          <w:pgSz w:w="12240" w:h="15840"/>
          <w:pgMar w:top="1440" w:right="1800" w:bottom="1440" w:left="1800" w:header="720" w:footer="606" w:gutter="0"/>
          <w:cols w:space="720"/>
        </w:sectPr>
      </w:pPr>
    </w:p>
    <w:p w:rsidR="00537E8D" w:rsidRDefault="002D0FE9">
      <w:pPr>
        <w:pStyle w:val="Caption"/>
      </w:pPr>
      <w:r>
        <w:t xml:space="preserve">Summary of </w:t>
      </w:r>
      <w:r w:rsidR="00FF7E38">
        <w:t>Linaclotide</w:t>
      </w:r>
      <w:r>
        <w:t xml:space="preserve"> Clinical Trials</w:t>
      </w:r>
      <w:r w:rsidR="00FF7E38">
        <w:t>:  Chronic Idiopathic Constipation</w:t>
      </w:r>
      <w:r w:rsidR="00537E8D">
        <w:t xml:space="preserve"> </w:t>
      </w:r>
    </w:p>
    <w:tbl>
      <w:tblPr>
        <w:tblW w:w="5000" w:type="pct"/>
        <w:tblBorders>
          <w:top w:val="single" w:sz="12" w:space="0" w:color="808080"/>
          <w:left w:val="nil"/>
          <w:bottom w:val="single" w:sz="12" w:space="0" w:color="808080"/>
          <w:right w:val="nil"/>
          <w:insideH w:val="nil"/>
          <w:insideV w:val="nil"/>
        </w:tblBorders>
        <w:tblLook w:val="00E0" w:firstRow="1" w:lastRow="1" w:firstColumn="1" w:lastColumn="0" w:noHBand="0" w:noVBand="0"/>
      </w:tblPr>
      <w:tblGrid>
        <w:gridCol w:w="1585"/>
        <w:gridCol w:w="1603"/>
        <w:gridCol w:w="1861"/>
        <w:gridCol w:w="1997"/>
        <w:gridCol w:w="2788"/>
        <w:gridCol w:w="1526"/>
        <w:gridCol w:w="1816"/>
      </w:tblGrid>
      <w:tr w:rsidR="00F914D6" w:rsidRPr="00CE2C28" w:rsidTr="000566E9">
        <w:trPr>
          <w:tblHeader/>
        </w:trPr>
        <w:tc>
          <w:tcPr>
            <w:tcW w:w="601"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Citation</w:t>
            </w:r>
          </w:p>
          <w:p w:rsidR="00F914D6" w:rsidRPr="00CE2C28" w:rsidRDefault="00F914D6" w:rsidP="00F914D6">
            <w:pPr>
              <w:pStyle w:val="Table"/>
              <w:rPr>
                <w:b/>
                <w:bCs/>
                <w:sz w:val="16"/>
              </w:rPr>
            </w:pPr>
            <w:r w:rsidRPr="00CE2C28">
              <w:rPr>
                <w:b/>
                <w:bCs/>
                <w:sz w:val="16"/>
              </w:rPr>
              <w:t>Design</w:t>
            </w:r>
          </w:p>
          <w:p w:rsidR="00F914D6" w:rsidRPr="00CE2C28" w:rsidRDefault="00F914D6" w:rsidP="00F914D6">
            <w:pPr>
              <w:pStyle w:val="Table"/>
              <w:rPr>
                <w:b/>
                <w:bCs/>
                <w:sz w:val="16"/>
              </w:rPr>
            </w:pPr>
            <w:r w:rsidRPr="00CE2C28">
              <w:rPr>
                <w:b/>
                <w:bCs/>
                <w:sz w:val="16"/>
              </w:rPr>
              <w:t>Analysis type</w:t>
            </w:r>
          </w:p>
          <w:p w:rsidR="00F914D6" w:rsidRPr="00CE2C28" w:rsidRDefault="00F914D6" w:rsidP="00F914D6">
            <w:pPr>
              <w:pStyle w:val="Table"/>
              <w:rPr>
                <w:b/>
                <w:bCs/>
                <w:sz w:val="16"/>
              </w:rPr>
            </w:pPr>
            <w:r w:rsidRPr="00CE2C28">
              <w:rPr>
                <w:b/>
                <w:bCs/>
                <w:sz w:val="16"/>
              </w:rPr>
              <w:t>Setting</w:t>
            </w:r>
          </w:p>
        </w:tc>
        <w:tc>
          <w:tcPr>
            <w:tcW w:w="608"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Eligibility Criteria</w:t>
            </w:r>
          </w:p>
        </w:tc>
        <w:tc>
          <w:tcPr>
            <w:tcW w:w="706"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Interventions</w:t>
            </w:r>
          </w:p>
        </w:tc>
        <w:tc>
          <w:tcPr>
            <w:tcW w:w="758"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Patient Population Profile</w:t>
            </w:r>
          </w:p>
        </w:tc>
        <w:tc>
          <w:tcPr>
            <w:tcW w:w="1058"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Efficacy Results</w:t>
            </w:r>
          </w:p>
          <w:p w:rsidR="00F914D6" w:rsidRPr="00CE2C28" w:rsidRDefault="00F914D6" w:rsidP="00F914D6">
            <w:pPr>
              <w:pStyle w:val="Table"/>
              <w:rPr>
                <w:b/>
                <w:bCs/>
                <w:sz w:val="16"/>
              </w:rPr>
            </w:pPr>
          </w:p>
        </w:tc>
        <w:tc>
          <w:tcPr>
            <w:tcW w:w="579"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Safety Results</w:t>
            </w:r>
          </w:p>
        </w:tc>
        <w:tc>
          <w:tcPr>
            <w:tcW w:w="689" w:type="pct"/>
            <w:tcBorders>
              <w:top w:val="single" w:sz="12" w:space="0" w:color="auto"/>
              <w:bottom w:val="single" w:sz="6" w:space="0" w:color="auto"/>
            </w:tcBorders>
            <w:vAlign w:val="bottom"/>
          </w:tcPr>
          <w:p w:rsidR="00F914D6" w:rsidRPr="00CE2C28" w:rsidRDefault="00F914D6" w:rsidP="00F914D6">
            <w:pPr>
              <w:pStyle w:val="Table"/>
              <w:rPr>
                <w:b/>
                <w:bCs/>
                <w:sz w:val="16"/>
              </w:rPr>
            </w:pPr>
            <w:r w:rsidRPr="00CE2C28">
              <w:rPr>
                <w:b/>
                <w:bCs/>
                <w:sz w:val="16"/>
              </w:rPr>
              <w:t>Author’s conclusions</w:t>
            </w:r>
          </w:p>
          <w:p w:rsidR="00F914D6" w:rsidRPr="00CE2C28" w:rsidRDefault="00F914D6" w:rsidP="00F914D6">
            <w:pPr>
              <w:pStyle w:val="Table"/>
              <w:rPr>
                <w:b/>
                <w:bCs/>
                <w:sz w:val="16"/>
              </w:rPr>
            </w:pPr>
          </w:p>
          <w:p w:rsidR="00F914D6" w:rsidRPr="00CE2C28" w:rsidRDefault="00F914D6" w:rsidP="00AF100F">
            <w:pPr>
              <w:pStyle w:val="Table"/>
              <w:rPr>
                <w:b/>
                <w:bCs/>
                <w:sz w:val="16"/>
              </w:rPr>
            </w:pPr>
            <w:r w:rsidRPr="00CE2C28">
              <w:rPr>
                <w:b/>
                <w:bCs/>
                <w:i/>
                <w:iCs/>
                <w:sz w:val="16"/>
              </w:rPr>
              <w:t>Critique</w:t>
            </w:r>
          </w:p>
        </w:tc>
      </w:tr>
      <w:tr w:rsidR="00BD69E6" w:rsidRPr="00CE2C28" w:rsidTr="002D0FE9">
        <w:tc>
          <w:tcPr>
            <w:tcW w:w="601"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 xml:space="preserve">(Trial 303) </w:t>
            </w:r>
            <w:proofErr w:type="spellStart"/>
            <w:r w:rsidRPr="00CE2C28">
              <w:rPr>
                <w:sz w:val="16"/>
              </w:rPr>
              <w:t>Lembo</w:t>
            </w:r>
            <w:proofErr w:type="spellEnd"/>
            <w:r w:rsidRPr="00CE2C28">
              <w:rPr>
                <w:sz w:val="16"/>
              </w:rPr>
              <w:t xml:space="preserve"> (2011)</w:t>
            </w:r>
          </w:p>
          <w:p w:rsidR="00BD69E6" w:rsidRPr="00CE2C28" w:rsidRDefault="00BD69E6" w:rsidP="002D0FE9">
            <w:pPr>
              <w:pStyle w:val="Table"/>
              <w:rPr>
                <w:sz w:val="16"/>
              </w:rPr>
            </w:pPr>
            <w:r w:rsidRPr="00CE2C28">
              <w:rPr>
                <w:sz w:val="16"/>
              </w:rPr>
              <w:t xml:space="preserve">Two Randomized Trials of Linaclotide for Chronic Constipation </w:t>
            </w:r>
          </w:p>
          <w:p w:rsidR="00BD69E6" w:rsidRPr="00CE2C28" w:rsidRDefault="00BD69E6" w:rsidP="002D0FE9">
            <w:pPr>
              <w:pStyle w:val="Table"/>
              <w:rPr>
                <w:sz w:val="16"/>
              </w:rPr>
            </w:pPr>
            <w:r w:rsidRPr="00CE2C28">
              <w:rPr>
                <w:sz w:val="16"/>
              </w:rPr>
              <w:t>MC DB PC CO RCT</w:t>
            </w:r>
          </w:p>
          <w:p w:rsidR="00BD69E6" w:rsidRPr="00CE2C28" w:rsidRDefault="00BD69E6" w:rsidP="002D0FE9">
            <w:pPr>
              <w:pStyle w:val="Table"/>
              <w:rPr>
                <w:sz w:val="16"/>
              </w:rPr>
            </w:pPr>
            <w:r w:rsidRPr="00CE2C28">
              <w:rPr>
                <w:sz w:val="16"/>
              </w:rPr>
              <w:t>ITT</w:t>
            </w:r>
          </w:p>
          <w:p w:rsidR="00BD69E6" w:rsidRPr="00CE2C28" w:rsidRDefault="00BD69E6" w:rsidP="002D0FE9">
            <w:pPr>
              <w:pStyle w:val="Table"/>
              <w:rPr>
                <w:sz w:val="16"/>
                <w:vertAlign w:val="superscript"/>
              </w:rPr>
            </w:pPr>
            <w:r w:rsidRPr="00CE2C28">
              <w:rPr>
                <w:sz w:val="16"/>
              </w:rPr>
              <w:t>Outpatient clinics (USA and Canada)</w:t>
            </w:r>
            <w:r w:rsidRPr="00CE2C28">
              <w:rPr>
                <w:sz w:val="16"/>
                <w:vertAlign w:val="superscript"/>
              </w:rPr>
              <w:t>2</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Included a 4-week period of randomized withdrawal at conclusion of the 12-week treatment period</w:t>
            </w:r>
          </w:p>
        </w:tc>
        <w:tc>
          <w:tcPr>
            <w:tcW w:w="608"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 xml:space="preserve">Inclusion criteria: &gt;18 years old, &lt; 3 SBMs/week and ≥ 1 of the following signs/symptoms during &gt; 25% of BMs for at </w:t>
            </w:r>
          </w:p>
          <w:p w:rsidR="00BD69E6" w:rsidRPr="00CE2C28" w:rsidRDefault="00BD69E6" w:rsidP="002D0FE9">
            <w:pPr>
              <w:pStyle w:val="Table"/>
              <w:rPr>
                <w:sz w:val="16"/>
              </w:rPr>
            </w:pPr>
            <w:r w:rsidRPr="00CE2C28">
              <w:rPr>
                <w:sz w:val="16"/>
              </w:rPr>
              <w:t xml:space="preserve">least 12 weeks within the preceding 12 months: 1) straining, 2) lumpy or hard stools, or </w:t>
            </w:r>
          </w:p>
          <w:p w:rsidR="00BD69E6" w:rsidRPr="00CE2C28" w:rsidRDefault="00BD69E6" w:rsidP="002D0FE9">
            <w:pPr>
              <w:pStyle w:val="Table"/>
              <w:rPr>
                <w:sz w:val="16"/>
              </w:rPr>
            </w:pPr>
            <w:r w:rsidRPr="00CE2C28">
              <w:rPr>
                <w:sz w:val="16"/>
              </w:rPr>
              <w:t>3) sensation of incomplete evacuation, Mean of &lt; 3 CSBMs and ≤ 6 SBMs per week during 14-day baseline period</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Exclusion criteria: loose (mushy) or watery stools in the absence of laxatives &gt; 25% of BM during the 12 weeks </w:t>
            </w:r>
          </w:p>
          <w:p w:rsidR="00BD69E6" w:rsidRPr="00CE2C28" w:rsidRDefault="00BD69E6" w:rsidP="002D0FE9">
            <w:pPr>
              <w:pStyle w:val="Table"/>
              <w:rPr>
                <w:sz w:val="16"/>
              </w:rPr>
            </w:pPr>
            <w:r w:rsidRPr="00CE2C28">
              <w:rPr>
                <w:sz w:val="16"/>
              </w:rPr>
              <w:t>preceding the study, &gt; 1 BSFS 6 or 7 stool during the pretreatment baseline, Rome II criteria for IBS, history of pelvic floor dysfunction</w:t>
            </w:r>
          </w:p>
        </w:tc>
        <w:tc>
          <w:tcPr>
            <w:tcW w:w="706"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Linaclotide 290 mcg, linaclotide 145 mcg orally once daily or placebo for treatment period</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Withdrawal period: placebo group switched to linaclotide 290mcg, linaclotide group were randomized to continue same linaclotide dose or switch to placebo</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Patient may </w:t>
            </w:r>
          </w:p>
          <w:p w:rsidR="00BD69E6" w:rsidRPr="00CE2C28" w:rsidRDefault="00BD69E6" w:rsidP="002D0FE9">
            <w:pPr>
              <w:pStyle w:val="Table"/>
              <w:rPr>
                <w:sz w:val="16"/>
              </w:rPr>
            </w:pPr>
            <w:r w:rsidRPr="00CE2C28">
              <w:rPr>
                <w:sz w:val="16"/>
              </w:rPr>
              <w:t>use dispensed, protocol-defined laxatives (</w:t>
            </w:r>
            <w:proofErr w:type="spellStart"/>
            <w:r w:rsidRPr="00CE2C28">
              <w:rPr>
                <w:sz w:val="16"/>
              </w:rPr>
              <w:t>bisacodyl</w:t>
            </w:r>
            <w:proofErr w:type="spellEnd"/>
            <w:r w:rsidRPr="00CE2C28">
              <w:rPr>
                <w:sz w:val="16"/>
              </w:rPr>
              <w:t xml:space="preserve"> 5mg tablets or </w:t>
            </w:r>
            <w:proofErr w:type="spellStart"/>
            <w:r w:rsidRPr="00CE2C28">
              <w:rPr>
                <w:sz w:val="16"/>
              </w:rPr>
              <w:t>bisacodyl</w:t>
            </w:r>
            <w:proofErr w:type="spellEnd"/>
            <w:r w:rsidRPr="00CE2C28">
              <w:rPr>
                <w:sz w:val="16"/>
              </w:rPr>
              <w:t xml:space="preserve"> 10mg suppositories) as rescue medicine when at least 72 hours have passed since patient’s previous BM or </w:t>
            </w:r>
          </w:p>
          <w:p w:rsidR="00BD69E6" w:rsidRPr="00CE2C28" w:rsidRDefault="00BD69E6" w:rsidP="002D0FE9">
            <w:pPr>
              <w:pStyle w:val="Table"/>
              <w:rPr>
                <w:sz w:val="16"/>
              </w:rPr>
            </w:pPr>
            <w:r w:rsidRPr="00CE2C28">
              <w:rPr>
                <w:sz w:val="16"/>
              </w:rPr>
              <w:t>when symptoms intolerable</w:t>
            </w:r>
          </w:p>
          <w:p w:rsidR="00BD69E6" w:rsidRPr="00CE2C28" w:rsidRDefault="00BD69E6" w:rsidP="002D0FE9">
            <w:pPr>
              <w:pStyle w:val="Table"/>
              <w:rPr>
                <w:sz w:val="16"/>
              </w:rPr>
            </w:pPr>
          </w:p>
        </w:tc>
        <w:tc>
          <w:tcPr>
            <w:tcW w:w="758"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642 patients: linaclotide 290mcg (n = 216), linaclotide 145mcg (n = 217), placebo 209)</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Average age 48, 87% female, 75% white</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No significant differences in baseline characteristics</w:t>
            </w:r>
          </w:p>
          <w:p w:rsidR="00BD69E6" w:rsidRPr="00CE2C28" w:rsidRDefault="00BD69E6" w:rsidP="002D0FE9">
            <w:pPr>
              <w:pStyle w:val="Table"/>
              <w:rPr>
                <w:sz w:val="16"/>
              </w:rPr>
            </w:pPr>
          </w:p>
        </w:tc>
        <w:tc>
          <w:tcPr>
            <w:tcW w:w="1058"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 xml:space="preserve">Percentage of patients with ≥ 3 CSBMs and an increase </w:t>
            </w:r>
          </w:p>
          <w:p w:rsidR="00BD69E6" w:rsidRPr="00CE2C28" w:rsidRDefault="00BD69E6" w:rsidP="002D0FE9">
            <w:pPr>
              <w:pStyle w:val="Table"/>
              <w:rPr>
                <w:sz w:val="16"/>
              </w:rPr>
            </w:pPr>
            <w:r w:rsidRPr="00CE2C28">
              <w:rPr>
                <w:sz w:val="16"/>
              </w:rPr>
              <w:t xml:space="preserve">of ≥ 1 CSBM from baseline during a particular week </w:t>
            </w:r>
          </w:p>
          <w:p w:rsidR="00BD69E6" w:rsidRPr="00CE2C28" w:rsidRDefault="00BD69E6" w:rsidP="002D0FE9">
            <w:pPr>
              <w:pStyle w:val="Table"/>
              <w:rPr>
                <w:sz w:val="16"/>
              </w:rPr>
            </w:pPr>
            <w:r w:rsidRPr="00CE2C28">
              <w:rPr>
                <w:sz w:val="16"/>
              </w:rPr>
              <w:t>for ≥ 9 weeks of the 12-week treatment period:  3.3% placebo vs. 21.2% linaclotide 145mcg (NNT = 5.6) vs. 19.4% linaclotide 290mcg (NNT = 6.2)</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Secondary endpoint: weekly SBM frequency compared to baseline: 1.1 placebo vs. 3.0 linaclotide 145mcg vs. 3.0 linaclotide 290 mcg</w:t>
            </w:r>
          </w:p>
          <w:p w:rsidR="00BD69E6" w:rsidRPr="00CE2C28" w:rsidRDefault="00BD69E6" w:rsidP="002D0FE9">
            <w:pPr>
              <w:pStyle w:val="Table"/>
              <w:rPr>
                <w:sz w:val="16"/>
              </w:rPr>
            </w:pP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Patient Assessment of Constipation Quality of Life (4 point scale) improved from baseline by &gt;1 points: 18.7% placebo vs. 44.9% linaclotide 145mcg vs. 35.5% linaclotide 290mcg</w:t>
            </w:r>
          </w:p>
        </w:tc>
        <w:tc>
          <w:tcPr>
            <w:tcW w:w="579"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No deaths</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Any event 50.2% placebo vs. 56.2% linaclotide 145mcg vs. 54.8%linaclotide 290mcg</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Diarrhea 6.7% placebo vs. 12.4% linaclotide 145mcg vs. 13.8% linaclotide 290mcg</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Abdominal distention 1.4% placebo vs. 3.7% linaclotide 145mcg vs. 3.2% linaclotide 290mcg</w:t>
            </w:r>
          </w:p>
        </w:tc>
        <w:tc>
          <w:tcPr>
            <w:tcW w:w="689" w:type="pct"/>
            <w:tcBorders>
              <w:top w:val="single" w:sz="6" w:space="0" w:color="808080"/>
              <w:bottom w:val="single" w:sz="12" w:space="0" w:color="auto"/>
            </w:tcBorders>
          </w:tcPr>
          <w:p w:rsidR="00BD69E6" w:rsidRPr="00CE2C28" w:rsidRDefault="00BD69E6" w:rsidP="002D0FE9">
            <w:pPr>
              <w:pStyle w:val="Table"/>
              <w:rPr>
                <w:sz w:val="16"/>
              </w:rPr>
            </w:pPr>
            <w:r w:rsidRPr="00CE2C28">
              <w:rPr>
                <w:sz w:val="16"/>
              </w:rPr>
              <w:t xml:space="preserve">Linaclotide led to improvement in bowel and abdominal symptoms and reduced the severity of </w:t>
            </w:r>
          </w:p>
          <w:p w:rsidR="00BD69E6" w:rsidRPr="00CE2C28" w:rsidRDefault="00BD69E6" w:rsidP="002D0FE9">
            <w:pPr>
              <w:pStyle w:val="Table"/>
              <w:rPr>
                <w:sz w:val="16"/>
              </w:rPr>
            </w:pPr>
            <w:r w:rsidRPr="00CE2C28">
              <w:rPr>
                <w:sz w:val="16"/>
              </w:rPr>
              <w:t>constipation</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The effects of linaclotide on </w:t>
            </w:r>
          </w:p>
          <w:p w:rsidR="00BD69E6" w:rsidRPr="00CE2C28" w:rsidRDefault="00BD69E6" w:rsidP="002D0FE9">
            <w:pPr>
              <w:pStyle w:val="Table"/>
              <w:rPr>
                <w:sz w:val="16"/>
              </w:rPr>
            </w:pPr>
            <w:r w:rsidRPr="00CE2C28">
              <w:rPr>
                <w:sz w:val="16"/>
              </w:rPr>
              <w:t xml:space="preserve">symptoms of constipation were observed within </w:t>
            </w:r>
          </w:p>
          <w:p w:rsidR="00BD69E6" w:rsidRPr="00CE2C28" w:rsidRDefault="00BD69E6" w:rsidP="002D0FE9">
            <w:pPr>
              <w:pStyle w:val="Table"/>
              <w:rPr>
                <w:sz w:val="16"/>
              </w:rPr>
            </w:pPr>
            <w:r w:rsidRPr="00CE2C28">
              <w:rPr>
                <w:sz w:val="16"/>
              </w:rPr>
              <w:t xml:space="preserve">the first 24 hours and were sustained through 16 </w:t>
            </w:r>
          </w:p>
          <w:p w:rsidR="00BD69E6" w:rsidRPr="00CE2C28" w:rsidRDefault="00BD69E6" w:rsidP="002D0FE9">
            <w:pPr>
              <w:pStyle w:val="Table"/>
              <w:rPr>
                <w:sz w:val="16"/>
              </w:rPr>
            </w:pPr>
            <w:r w:rsidRPr="00CE2C28">
              <w:rPr>
                <w:sz w:val="16"/>
              </w:rPr>
              <w:t>weeks</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Episodes of diarrhea mostly mild or moderate; treatment discontinued </w:t>
            </w:r>
          </w:p>
          <w:p w:rsidR="00BD69E6" w:rsidRPr="00CE2C28" w:rsidRDefault="00BD69E6" w:rsidP="002D0FE9">
            <w:pPr>
              <w:pStyle w:val="Table"/>
              <w:rPr>
                <w:sz w:val="16"/>
              </w:rPr>
            </w:pPr>
            <w:r w:rsidRPr="00CE2C28">
              <w:rPr>
                <w:sz w:val="16"/>
              </w:rPr>
              <w:t xml:space="preserve">because of diarrhea in 4.2% of linaclotide-treated patients as compared with 0.5% of patients </w:t>
            </w:r>
          </w:p>
          <w:p w:rsidR="00BD69E6" w:rsidRPr="00CE2C28" w:rsidRDefault="00BD69E6" w:rsidP="002D0FE9">
            <w:pPr>
              <w:pStyle w:val="Table"/>
              <w:rPr>
                <w:sz w:val="16"/>
              </w:rPr>
            </w:pPr>
            <w:r w:rsidRPr="00CE2C28">
              <w:rPr>
                <w:sz w:val="16"/>
              </w:rPr>
              <w:t>receiving placebo</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During the randomized withdrawal period, patients continuing linaclotide</w:t>
            </w:r>
          </w:p>
          <w:p w:rsidR="00BD69E6" w:rsidRPr="00CE2C28" w:rsidRDefault="00BD69E6" w:rsidP="002D0FE9">
            <w:pPr>
              <w:pStyle w:val="Table"/>
              <w:rPr>
                <w:sz w:val="16"/>
              </w:rPr>
            </w:pPr>
            <w:r w:rsidRPr="00CE2C28">
              <w:rPr>
                <w:sz w:val="16"/>
              </w:rPr>
              <w:t xml:space="preserve">and those who switched from placebo to linaclotide </w:t>
            </w:r>
          </w:p>
          <w:p w:rsidR="00BD69E6" w:rsidRPr="00CE2C28" w:rsidRDefault="00BD69E6" w:rsidP="002D0FE9">
            <w:pPr>
              <w:pStyle w:val="Table"/>
              <w:rPr>
                <w:sz w:val="16"/>
              </w:rPr>
            </w:pPr>
            <w:r w:rsidRPr="00CE2C28">
              <w:rPr>
                <w:sz w:val="16"/>
              </w:rPr>
              <w:t xml:space="preserve">had sustained increases in rate of CSBMs </w:t>
            </w:r>
          </w:p>
          <w:p w:rsidR="00BD69E6" w:rsidRPr="00CE2C28" w:rsidRDefault="00BD69E6" w:rsidP="002D0FE9">
            <w:pPr>
              <w:pStyle w:val="Table"/>
              <w:rPr>
                <w:sz w:val="16"/>
              </w:rPr>
            </w:pPr>
            <w:r w:rsidRPr="00CE2C28">
              <w:rPr>
                <w:sz w:val="16"/>
              </w:rPr>
              <w:t xml:space="preserve">similar to levels reported during </w:t>
            </w:r>
          </w:p>
          <w:p w:rsidR="00BD69E6" w:rsidRPr="00CE2C28" w:rsidRDefault="00BD69E6" w:rsidP="002D0FE9">
            <w:pPr>
              <w:pStyle w:val="Table"/>
              <w:rPr>
                <w:sz w:val="16"/>
              </w:rPr>
            </w:pPr>
            <w:r w:rsidRPr="00CE2C28">
              <w:rPr>
                <w:sz w:val="16"/>
              </w:rPr>
              <w:t xml:space="preserve">treatment period, patients who switched from linaclotide to placebo had decreased rate </w:t>
            </w:r>
          </w:p>
          <w:p w:rsidR="00BD69E6" w:rsidRPr="00CE2C28" w:rsidRDefault="00BD69E6" w:rsidP="002D0FE9">
            <w:pPr>
              <w:pStyle w:val="Table"/>
              <w:rPr>
                <w:sz w:val="16"/>
              </w:rPr>
            </w:pPr>
            <w:r w:rsidRPr="00CE2C28">
              <w:rPr>
                <w:sz w:val="16"/>
              </w:rPr>
              <w:t xml:space="preserve">of CSBMs, which was similar to rates in </w:t>
            </w:r>
          </w:p>
          <w:p w:rsidR="00BD69E6" w:rsidRPr="00CE2C28" w:rsidRDefault="00BD69E6" w:rsidP="002D0FE9">
            <w:pPr>
              <w:pStyle w:val="Table"/>
              <w:rPr>
                <w:sz w:val="16"/>
              </w:rPr>
            </w:pPr>
            <w:proofErr w:type="gramStart"/>
            <w:r w:rsidRPr="00CE2C28">
              <w:rPr>
                <w:sz w:val="16"/>
              </w:rPr>
              <w:t>placebo</w:t>
            </w:r>
            <w:proofErr w:type="gramEnd"/>
            <w:r w:rsidRPr="00CE2C28">
              <w:rPr>
                <w:sz w:val="16"/>
              </w:rPr>
              <w:t xml:space="preserve"> groups during treatment period. No evidence of “rebound” (i.e., fewer CSBMs </w:t>
            </w:r>
          </w:p>
          <w:p w:rsidR="00BD69E6" w:rsidRPr="00CE2C28" w:rsidRDefault="00BD69E6" w:rsidP="002D0FE9">
            <w:pPr>
              <w:pStyle w:val="Table"/>
              <w:rPr>
                <w:sz w:val="16"/>
              </w:rPr>
            </w:pPr>
            <w:r w:rsidRPr="00CE2C28">
              <w:rPr>
                <w:sz w:val="16"/>
              </w:rPr>
              <w:t xml:space="preserve">or worsening of other constipation symptoms), as </w:t>
            </w:r>
          </w:p>
          <w:p w:rsidR="00BD69E6" w:rsidRPr="00CE2C28" w:rsidRDefault="00BD69E6" w:rsidP="002D0FE9">
            <w:pPr>
              <w:pStyle w:val="Table"/>
              <w:rPr>
                <w:sz w:val="16"/>
              </w:rPr>
            </w:pPr>
            <w:r w:rsidRPr="00CE2C28">
              <w:rPr>
                <w:sz w:val="16"/>
              </w:rPr>
              <w:t>compared with baseline levels</w:t>
            </w:r>
          </w:p>
          <w:p w:rsidR="00BD69E6" w:rsidRPr="00CE2C28" w:rsidRDefault="00BD69E6" w:rsidP="002D0FE9">
            <w:pPr>
              <w:pStyle w:val="Table"/>
              <w:rPr>
                <w:sz w:val="16"/>
              </w:rPr>
            </w:pPr>
          </w:p>
          <w:p w:rsidR="00BD69E6" w:rsidRPr="00CE2C28" w:rsidRDefault="00BD69E6" w:rsidP="002D0FE9">
            <w:pPr>
              <w:pStyle w:val="Table"/>
              <w:rPr>
                <w:sz w:val="16"/>
              </w:rPr>
            </w:pPr>
            <w:proofErr w:type="spellStart"/>
            <w:r w:rsidRPr="00CE2C28">
              <w:rPr>
                <w:sz w:val="16"/>
              </w:rPr>
              <w:t>Jadad</w:t>
            </w:r>
            <w:proofErr w:type="spellEnd"/>
            <w:r w:rsidRPr="00CE2C28">
              <w:rPr>
                <w:sz w:val="16"/>
              </w:rPr>
              <w:t xml:space="preserve"> Quality Rating: 5</w:t>
            </w:r>
          </w:p>
        </w:tc>
      </w:tr>
      <w:tr w:rsidR="008547E2" w:rsidRPr="00CE2C28" w:rsidTr="00CE2C28">
        <w:trPr>
          <w:cantSplit/>
        </w:trPr>
        <w:tc>
          <w:tcPr>
            <w:tcW w:w="601" w:type="pct"/>
            <w:tcBorders>
              <w:top w:val="single" w:sz="6" w:space="0" w:color="808080"/>
              <w:bottom w:val="single" w:sz="6" w:space="0" w:color="808080"/>
            </w:tcBorders>
          </w:tcPr>
          <w:p w:rsidR="008547E2" w:rsidRPr="00CE2C28" w:rsidRDefault="008E41EB" w:rsidP="008547E2">
            <w:pPr>
              <w:pStyle w:val="Table"/>
              <w:rPr>
                <w:sz w:val="16"/>
              </w:rPr>
            </w:pPr>
            <w:r w:rsidRPr="00CE2C28">
              <w:rPr>
                <w:sz w:val="16"/>
              </w:rPr>
              <w:t xml:space="preserve">(Trial 01) </w:t>
            </w:r>
            <w:proofErr w:type="spellStart"/>
            <w:r w:rsidRPr="00CE2C28">
              <w:rPr>
                <w:sz w:val="16"/>
              </w:rPr>
              <w:t>Lembo</w:t>
            </w:r>
            <w:proofErr w:type="spellEnd"/>
            <w:r w:rsidRPr="00CE2C28">
              <w:rPr>
                <w:sz w:val="16"/>
              </w:rPr>
              <w:t xml:space="preserve"> (2011)</w:t>
            </w:r>
          </w:p>
          <w:p w:rsidR="008547E2" w:rsidRPr="00CE2C28" w:rsidRDefault="008547E2" w:rsidP="008547E2">
            <w:pPr>
              <w:pStyle w:val="Table"/>
              <w:rPr>
                <w:sz w:val="16"/>
              </w:rPr>
            </w:pPr>
            <w:r w:rsidRPr="00CE2C28">
              <w:rPr>
                <w:sz w:val="16"/>
              </w:rPr>
              <w:t>Two Randomized Trials of Linaclotide for Chronic Constipation</w:t>
            </w:r>
          </w:p>
          <w:p w:rsidR="008547E2" w:rsidRPr="00CE2C28" w:rsidRDefault="008547E2" w:rsidP="008547E2">
            <w:pPr>
              <w:pStyle w:val="Table"/>
              <w:rPr>
                <w:sz w:val="16"/>
              </w:rPr>
            </w:pPr>
            <w:r w:rsidRPr="00CE2C28">
              <w:rPr>
                <w:sz w:val="16"/>
              </w:rPr>
              <w:t>MC DB PC CO RCT</w:t>
            </w:r>
          </w:p>
          <w:p w:rsidR="008547E2" w:rsidRPr="00CE2C28" w:rsidRDefault="008547E2" w:rsidP="008547E2">
            <w:pPr>
              <w:pStyle w:val="Table"/>
              <w:rPr>
                <w:sz w:val="16"/>
              </w:rPr>
            </w:pPr>
            <w:r w:rsidRPr="00CE2C28">
              <w:rPr>
                <w:sz w:val="16"/>
              </w:rPr>
              <w:t>ITT</w:t>
            </w:r>
          </w:p>
          <w:p w:rsidR="008547E2" w:rsidRPr="00CE2C28" w:rsidRDefault="008547E2" w:rsidP="00F914D6">
            <w:pPr>
              <w:pStyle w:val="Table"/>
              <w:rPr>
                <w:sz w:val="16"/>
                <w:vertAlign w:val="superscript"/>
              </w:rPr>
            </w:pPr>
            <w:r w:rsidRPr="00CE2C28">
              <w:rPr>
                <w:sz w:val="16"/>
              </w:rPr>
              <w:t>Outpatient clinics (USA and Canada)</w:t>
            </w:r>
            <w:r w:rsidR="008E41EB" w:rsidRPr="00CE2C28">
              <w:rPr>
                <w:sz w:val="16"/>
                <w:vertAlign w:val="superscript"/>
              </w:rPr>
              <w:t>2</w:t>
            </w:r>
          </w:p>
        </w:tc>
        <w:tc>
          <w:tcPr>
            <w:tcW w:w="608" w:type="pct"/>
            <w:tcBorders>
              <w:top w:val="single" w:sz="6" w:space="0" w:color="808080"/>
              <w:bottom w:val="single" w:sz="6" w:space="0" w:color="808080"/>
            </w:tcBorders>
          </w:tcPr>
          <w:p w:rsidR="008547E2" w:rsidRPr="00CE2C28" w:rsidRDefault="008547E2" w:rsidP="008547E2">
            <w:pPr>
              <w:pStyle w:val="Table"/>
              <w:rPr>
                <w:sz w:val="16"/>
              </w:rPr>
            </w:pPr>
            <w:r w:rsidRPr="00CE2C28">
              <w:rPr>
                <w:sz w:val="16"/>
              </w:rPr>
              <w:t xml:space="preserve">Inclusion criteria: &gt;18 years old, &lt; 3 SBMs/week and ≥ 1 of the following signs/symptoms during &gt; 25% of BMs for at </w:t>
            </w:r>
          </w:p>
          <w:p w:rsidR="008547E2" w:rsidRPr="00CE2C28" w:rsidRDefault="008547E2" w:rsidP="008547E2">
            <w:pPr>
              <w:pStyle w:val="Table"/>
              <w:rPr>
                <w:sz w:val="16"/>
              </w:rPr>
            </w:pPr>
            <w:r w:rsidRPr="00CE2C28">
              <w:rPr>
                <w:sz w:val="16"/>
              </w:rPr>
              <w:t xml:space="preserve">least 12 weeks within the preceding 12 months: 1) straining, 2)lumpy or hard stools, or </w:t>
            </w:r>
          </w:p>
          <w:p w:rsidR="008547E2" w:rsidRPr="00CE2C28" w:rsidRDefault="008547E2" w:rsidP="008547E2">
            <w:pPr>
              <w:pStyle w:val="Table"/>
              <w:rPr>
                <w:sz w:val="16"/>
              </w:rPr>
            </w:pPr>
            <w:r w:rsidRPr="00CE2C28">
              <w:rPr>
                <w:sz w:val="16"/>
              </w:rPr>
              <w:t>3) sensation of incomplete evacuation, Mean of &lt; 3 CSBMs and ≤ 6 SBMs per week during 14-day baseline period</w:t>
            </w:r>
          </w:p>
          <w:p w:rsidR="008547E2" w:rsidRPr="00CE2C28" w:rsidRDefault="008547E2" w:rsidP="008547E2">
            <w:pPr>
              <w:pStyle w:val="Table"/>
              <w:rPr>
                <w:sz w:val="16"/>
              </w:rPr>
            </w:pPr>
          </w:p>
          <w:p w:rsidR="008547E2" w:rsidRPr="00CE2C28" w:rsidRDefault="008547E2" w:rsidP="008547E2">
            <w:pPr>
              <w:pStyle w:val="Table"/>
              <w:rPr>
                <w:sz w:val="16"/>
              </w:rPr>
            </w:pPr>
            <w:r w:rsidRPr="00CE2C28">
              <w:rPr>
                <w:sz w:val="16"/>
              </w:rPr>
              <w:t xml:space="preserve">Exclusion criteria: loose (mushy) or watery stools in the absence of laxatives &gt; 25% of BM during the 12 weeks </w:t>
            </w:r>
          </w:p>
          <w:p w:rsidR="008547E2" w:rsidRPr="00CE2C28" w:rsidRDefault="008547E2" w:rsidP="00F914D6">
            <w:pPr>
              <w:pStyle w:val="Table"/>
              <w:rPr>
                <w:sz w:val="16"/>
              </w:rPr>
            </w:pPr>
            <w:r w:rsidRPr="00CE2C28">
              <w:rPr>
                <w:sz w:val="16"/>
              </w:rPr>
              <w:t>preceding the study, &gt; 1 BSFS 6 or 7 stool during the pretreatment baseline, Rome II criteria for IBS, history of pelvic floor dysfunction</w:t>
            </w:r>
          </w:p>
        </w:tc>
        <w:tc>
          <w:tcPr>
            <w:tcW w:w="706" w:type="pct"/>
            <w:tcBorders>
              <w:top w:val="single" w:sz="6" w:space="0" w:color="808080"/>
              <w:bottom w:val="single" w:sz="6" w:space="0" w:color="808080"/>
            </w:tcBorders>
          </w:tcPr>
          <w:p w:rsidR="008547E2" w:rsidRPr="00CE2C28" w:rsidRDefault="008547E2" w:rsidP="008547E2">
            <w:pPr>
              <w:pStyle w:val="Table"/>
              <w:rPr>
                <w:sz w:val="16"/>
              </w:rPr>
            </w:pPr>
            <w:r w:rsidRPr="00CE2C28">
              <w:rPr>
                <w:sz w:val="16"/>
              </w:rPr>
              <w:t>Linaclotide 290 mcg, linaclotide 145 mcg orally once daily or placebo for treatment period</w:t>
            </w:r>
          </w:p>
          <w:p w:rsidR="008547E2" w:rsidRPr="00CE2C28" w:rsidRDefault="008547E2" w:rsidP="008547E2">
            <w:pPr>
              <w:pStyle w:val="Table"/>
              <w:rPr>
                <w:sz w:val="16"/>
              </w:rPr>
            </w:pPr>
          </w:p>
          <w:p w:rsidR="008547E2" w:rsidRPr="00CE2C28" w:rsidRDefault="008547E2" w:rsidP="008547E2">
            <w:pPr>
              <w:pStyle w:val="Table"/>
              <w:rPr>
                <w:sz w:val="16"/>
              </w:rPr>
            </w:pPr>
            <w:r w:rsidRPr="00CE2C28">
              <w:rPr>
                <w:sz w:val="16"/>
              </w:rPr>
              <w:t xml:space="preserve">Patient may </w:t>
            </w:r>
          </w:p>
          <w:p w:rsidR="008547E2" w:rsidRPr="00CE2C28" w:rsidRDefault="008547E2" w:rsidP="008547E2">
            <w:pPr>
              <w:pStyle w:val="Table"/>
              <w:rPr>
                <w:sz w:val="16"/>
              </w:rPr>
            </w:pPr>
            <w:r w:rsidRPr="00CE2C28">
              <w:rPr>
                <w:sz w:val="16"/>
              </w:rPr>
              <w:t>use dispensed, protocol-defined laxatives (</w:t>
            </w:r>
            <w:proofErr w:type="spellStart"/>
            <w:r w:rsidRPr="00CE2C28">
              <w:rPr>
                <w:sz w:val="16"/>
              </w:rPr>
              <w:t>bisacodyl</w:t>
            </w:r>
            <w:proofErr w:type="spellEnd"/>
            <w:r w:rsidRPr="00CE2C28">
              <w:rPr>
                <w:sz w:val="16"/>
              </w:rPr>
              <w:t xml:space="preserve"> tablets or </w:t>
            </w:r>
            <w:proofErr w:type="spellStart"/>
            <w:r w:rsidRPr="00CE2C28">
              <w:rPr>
                <w:sz w:val="16"/>
              </w:rPr>
              <w:t>bisacodyl</w:t>
            </w:r>
            <w:proofErr w:type="spellEnd"/>
            <w:r w:rsidRPr="00CE2C28">
              <w:rPr>
                <w:sz w:val="16"/>
              </w:rPr>
              <w:t xml:space="preserve"> suppositories) as rescue medicine when at least 72 hours have passed since patient’s previous BM or </w:t>
            </w:r>
          </w:p>
          <w:p w:rsidR="008547E2" w:rsidRPr="00CE2C28" w:rsidRDefault="008547E2" w:rsidP="008547E2">
            <w:pPr>
              <w:pStyle w:val="Table"/>
              <w:rPr>
                <w:sz w:val="16"/>
              </w:rPr>
            </w:pPr>
            <w:r w:rsidRPr="00CE2C28">
              <w:rPr>
                <w:sz w:val="16"/>
              </w:rPr>
              <w:t xml:space="preserve">when symptoms intolerable </w:t>
            </w:r>
          </w:p>
          <w:p w:rsidR="008547E2" w:rsidRPr="00CE2C28" w:rsidRDefault="008547E2" w:rsidP="00F914D6">
            <w:pPr>
              <w:pStyle w:val="Table"/>
              <w:rPr>
                <w:sz w:val="16"/>
              </w:rPr>
            </w:pPr>
          </w:p>
        </w:tc>
        <w:tc>
          <w:tcPr>
            <w:tcW w:w="758" w:type="pct"/>
            <w:tcBorders>
              <w:top w:val="single" w:sz="6" w:space="0" w:color="808080"/>
              <w:bottom w:val="single" w:sz="6" w:space="0" w:color="808080"/>
            </w:tcBorders>
          </w:tcPr>
          <w:p w:rsidR="008547E2" w:rsidRPr="00CE2C28" w:rsidRDefault="008547E2" w:rsidP="008547E2">
            <w:pPr>
              <w:pStyle w:val="Table"/>
              <w:rPr>
                <w:sz w:val="16"/>
              </w:rPr>
            </w:pPr>
            <w:r w:rsidRPr="00CE2C28">
              <w:rPr>
                <w:sz w:val="16"/>
              </w:rPr>
              <w:t>630 patients: linaclotide 290mcg (n = 202), linaclotide 145mcg (n = 213), placebo 215)</w:t>
            </w:r>
          </w:p>
          <w:p w:rsidR="008547E2" w:rsidRPr="00CE2C28" w:rsidRDefault="008547E2" w:rsidP="008547E2">
            <w:pPr>
              <w:pStyle w:val="Table"/>
              <w:rPr>
                <w:sz w:val="16"/>
              </w:rPr>
            </w:pPr>
          </w:p>
          <w:p w:rsidR="008547E2" w:rsidRPr="00CE2C28" w:rsidRDefault="008547E2" w:rsidP="008547E2">
            <w:pPr>
              <w:pStyle w:val="Table"/>
              <w:rPr>
                <w:sz w:val="16"/>
              </w:rPr>
            </w:pPr>
            <w:r w:rsidRPr="00CE2C28">
              <w:rPr>
                <w:sz w:val="16"/>
              </w:rPr>
              <w:t>Average age 48, 90% female, 77% white</w:t>
            </w:r>
          </w:p>
          <w:p w:rsidR="008547E2" w:rsidRPr="00CE2C28" w:rsidRDefault="008547E2" w:rsidP="008547E2">
            <w:pPr>
              <w:pStyle w:val="Table"/>
              <w:rPr>
                <w:sz w:val="16"/>
              </w:rPr>
            </w:pPr>
          </w:p>
          <w:p w:rsidR="008547E2" w:rsidRPr="00CE2C28" w:rsidRDefault="008547E2" w:rsidP="008547E2">
            <w:pPr>
              <w:pStyle w:val="Table"/>
              <w:rPr>
                <w:sz w:val="16"/>
              </w:rPr>
            </w:pPr>
            <w:r w:rsidRPr="00CE2C28">
              <w:rPr>
                <w:sz w:val="16"/>
              </w:rPr>
              <w:t>No significant differences in baseline characteristics</w:t>
            </w:r>
          </w:p>
          <w:p w:rsidR="008547E2" w:rsidRPr="00CE2C28" w:rsidRDefault="008547E2" w:rsidP="00F914D6">
            <w:pPr>
              <w:pStyle w:val="Table"/>
              <w:rPr>
                <w:sz w:val="16"/>
              </w:rPr>
            </w:pPr>
          </w:p>
        </w:tc>
        <w:tc>
          <w:tcPr>
            <w:tcW w:w="1058" w:type="pct"/>
            <w:tcBorders>
              <w:top w:val="single" w:sz="6" w:space="0" w:color="808080"/>
              <w:bottom w:val="single" w:sz="6" w:space="0" w:color="808080"/>
            </w:tcBorders>
          </w:tcPr>
          <w:p w:rsidR="008547E2" w:rsidRPr="00CE2C28" w:rsidRDefault="008547E2" w:rsidP="008547E2">
            <w:pPr>
              <w:pStyle w:val="Table"/>
              <w:rPr>
                <w:sz w:val="16"/>
              </w:rPr>
            </w:pPr>
            <w:r w:rsidRPr="00CE2C28">
              <w:rPr>
                <w:sz w:val="16"/>
              </w:rPr>
              <w:t xml:space="preserve">Primary endpoint: Percentage of patients with ≥ 3 CSBMs and an increase </w:t>
            </w:r>
          </w:p>
          <w:p w:rsidR="008547E2" w:rsidRPr="00CE2C28" w:rsidRDefault="008547E2" w:rsidP="008547E2">
            <w:pPr>
              <w:pStyle w:val="Table"/>
              <w:rPr>
                <w:sz w:val="16"/>
              </w:rPr>
            </w:pPr>
            <w:r w:rsidRPr="00CE2C28">
              <w:rPr>
                <w:sz w:val="16"/>
              </w:rPr>
              <w:t xml:space="preserve">of ≥ 1 CSBM from baseline during a particular week </w:t>
            </w:r>
          </w:p>
          <w:p w:rsidR="008547E2" w:rsidRPr="00CE2C28" w:rsidRDefault="008547E2" w:rsidP="008547E2">
            <w:pPr>
              <w:pStyle w:val="Table"/>
              <w:rPr>
                <w:sz w:val="16"/>
              </w:rPr>
            </w:pPr>
            <w:r w:rsidRPr="00CE2C28">
              <w:rPr>
                <w:sz w:val="16"/>
              </w:rPr>
              <w:t>for ≥ 9 weeks of the 12-week treatment period:  6% placebo vs. 16% linaclotide 145mcg (NNT = 10.1) vs. 21.3% linaclotide 290mcg (NNT = 6.6)</w:t>
            </w:r>
          </w:p>
          <w:p w:rsidR="008547E2" w:rsidRPr="00CE2C28" w:rsidRDefault="008547E2" w:rsidP="008547E2">
            <w:pPr>
              <w:pStyle w:val="Table"/>
              <w:rPr>
                <w:sz w:val="16"/>
              </w:rPr>
            </w:pPr>
          </w:p>
          <w:p w:rsidR="008547E2" w:rsidRPr="00CE2C28" w:rsidRDefault="008547E2" w:rsidP="008547E2">
            <w:pPr>
              <w:pStyle w:val="Table"/>
              <w:rPr>
                <w:sz w:val="16"/>
              </w:rPr>
            </w:pPr>
            <w:r w:rsidRPr="00CE2C28">
              <w:rPr>
                <w:sz w:val="16"/>
              </w:rPr>
              <w:t>Secondary endpoint: weekly SBM frequency compared to baseline: 1.1 placebo vs. 3.4 linaclotide 145mcg vs. 3.7 linaclotide 290 mcg</w:t>
            </w:r>
          </w:p>
          <w:p w:rsidR="008547E2" w:rsidRPr="00CE2C28" w:rsidRDefault="008547E2" w:rsidP="008547E2">
            <w:pPr>
              <w:pStyle w:val="Table"/>
              <w:rPr>
                <w:sz w:val="16"/>
              </w:rPr>
            </w:pPr>
          </w:p>
          <w:p w:rsidR="008547E2" w:rsidRPr="00CE2C28" w:rsidRDefault="008547E2" w:rsidP="008547E2">
            <w:pPr>
              <w:pStyle w:val="Table"/>
              <w:rPr>
                <w:sz w:val="16"/>
              </w:rPr>
            </w:pPr>
            <w:r w:rsidRPr="00CE2C28">
              <w:rPr>
                <w:sz w:val="16"/>
              </w:rPr>
              <w:t xml:space="preserve">Patient Assessment of Constipation Quality of Life (4 point scale) improved from baseline by </w:t>
            </w:r>
            <w:r w:rsidRPr="00CE2C28">
              <w:rPr>
                <w:sz w:val="16"/>
                <w:u w:val="single"/>
              </w:rPr>
              <w:t>&gt;</w:t>
            </w:r>
            <w:r w:rsidRPr="00CE2C28">
              <w:rPr>
                <w:sz w:val="16"/>
              </w:rPr>
              <w:t>1 points: 27.8% placebo vs. 42.2% linaclotide 145mcg vs. 46.8%linaclotide 290mcg</w:t>
            </w:r>
          </w:p>
        </w:tc>
        <w:tc>
          <w:tcPr>
            <w:tcW w:w="579"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No deaths</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Any event 54% placebo vs. 64.8% linaclotide 145mcg vs. 56.6%linaclotide 290mcg</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Diarrhea 2.8% placebo vs. 19.7% linaclotide 145mcg vs. 14.6% linaclotide 290mcg</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Flatulence 6.0% placebo vs. 7.5% linaclotide 145mcg vs. 6.3% linaclotide 290mcg</w:t>
            </w:r>
          </w:p>
          <w:p w:rsidR="009A1743" w:rsidRPr="00CE2C28" w:rsidRDefault="009A1743" w:rsidP="009A1743">
            <w:pPr>
              <w:pStyle w:val="Table"/>
              <w:rPr>
                <w:sz w:val="16"/>
              </w:rPr>
            </w:pPr>
          </w:p>
          <w:p w:rsidR="008547E2" w:rsidRPr="00CE2C28" w:rsidRDefault="009A1743" w:rsidP="009A1743">
            <w:pPr>
              <w:pStyle w:val="Table"/>
              <w:rPr>
                <w:sz w:val="16"/>
              </w:rPr>
            </w:pPr>
            <w:r w:rsidRPr="00CE2C28">
              <w:rPr>
                <w:sz w:val="16"/>
              </w:rPr>
              <w:t>Abdominal pain 2.3% placebo vs. 5.2% linaclotide 145mcg vs. 5.4% linaclotide 290mcg</w:t>
            </w:r>
          </w:p>
        </w:tc>
        <w:tc>
          <w:tcPr>
            <w:tcW w:w="689"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 xml:space="preserve">Linaclotide led to improvement in bowel and abdominal symptoms and reduced the severity of </w:t>
            </w:r>
          </w:p>
          <w:p w:rsidR="009A1743" w:rsidRPr="00CE2C28" w:rsidRDefault="009A1743" w:rsidP="009A1743">
            <w:pPr>
              <w:pStyle w:val="Table"/>
              <w:rPr>
                <w:sz w:val="16"/>
              </w:rPr>
            </w:pPr>
            <w:r w:rsidRPr="00CE2C28">
              <w:rPr>
                <w:sz w:val="16"/>
              </w:rPr>
              <w:t>constipation</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 xml:space="preserve">The effects of linaclotide on </w:t>
            </w:r>
          </w:p>
          <w:p w:rsidR="009A1743" w:rsidRPr="00CE2C28" w:rsidRDefault="009A1743" w:rsidP="009A1743">
            <w:pPr>
              <w:pStyle w:val="Table"/>
              <w:rPr>
                <w:sz w:val="16"/>
              </w:rPr>
            </w:pPr>
            <w:r w:rsidRPr="00CE2C28">
              <w:rPr>
                <w:sz w:val="16"/>
              </w:rPr>
              <w:t xml:space="preserve">symptoms of constipation were observed within </w:t>
            </w:r>
          </w:p>
          <w:p w:rsidR="009A1743" w:rsidRPr="00CE2C28" w:rsidRDefault="009A1743" w:rsidP="009A1743">
            <w:pPr>
              <w:pStyle w:val="Table"/>
              <w:rPr>
                <w:sz w:val="16"/>
              </w:rPr>
            </w:pPr>
            <w:r w:rsidRPr="00CE2C28">
              <w:rPr>
                <w:sz w:val="16"/>
              </w:rPr>
              <w:t xml:space="preserve">the first 24 hours and were sustained through 16 </w:t>
            </w:r>
          </w:p>
          <w:p w:rsidR="009A1743" w:rsidRPr="00CE2C28" w:rsidRDefault="009A1743" w:rsidP="009A1743">
            <w:pPr>
              <w:pStyle w:val="Table"/>
              <w:rPr>
                <w:sz w:val="16"/>
              </w:rPr>
            </w:pPr>
            <w:r w:rsidRPr="00CE2C28">
              <w:rPr>
                <w:sz w:val="16"/>
              </w:rPr>
              <w:t>weeks</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 xml:space="preserve">Episodes of diarrhea mostly mild or moderate; treatment discontinued </w:t>
            </w:r>
          </w:p>
          <w:p w:rsidR="009A1743" w:rsidRPr="00CE2C28" w:rsidRDefault="009A1743" w:rsidP="009A1743">
            <w:pPr>
              <w:pStyle w:val="Table"/>
              <w:rPr>
                <w:sz w:val="16"/>
              </w:rPr>
            </w:pPr>
            <w:r w:rsidRPr="00CE2C28">
              <w:rPr>
                <w:sz w:val="16"/>
              </w:rPr>
              <w:t xml:space="preserve">because of diarrhea in 4.2% of linaclotide-treated patients as compared with 0.5% of patients </w:t>
            </w:r>
          </w:p>
          <w:p w:rsidR="009A1743" w:rsidRPr="00CE2C28" w:rsidRDefault="009A1743" w:rsidP="009A1743">
            <w:pPr>
              <w:pStyle w:val="Table"/>
              <w:rPr>
                <w:sz w:val="16"/>
              </w:rPr>
            </w:pPr>
            <w:r w:rsidRPr="00CE2C28">
              <w:rPr>
                <w:sz w:val="16"/>
              </w:rPr>
              <w:t>receiving placebo</w:t>
            </w:r>
          </w:p>
          <w:p w:rsidR="009A1743" w:rsidRPr="00CE2C28" w:rsidRDefault="009A1743" w:rsidP="009A1743">
            <w:pPr>
              <w:pStyle w:val="Table"/>
              <w:rPr>
                <w:sz w:val="16"/>
              </w:rPr>
            </w:pPr>
          </w:p>
          <w:p w:rsidR="009A1743" w:rsidRPr="00CE2C28" w:rsidRDefault="009A1743" w:rsidP="009A1743">
            <w:pPr>
              <w:pStyle w:val="Table"/>
              <w:rPr>
                <w:sz w:val="16"/>
              </w:rPr>
            </w:pPr>
            <w:proofErr w:type="spellStart"/>
            <w:r w:rsidRPr="00CE2C28">
              <w:rPr>
                <w:sz w:val="16"/>
              </w:rPr>
              <w:t>Jadad</w:t>
            </w:r>
            <w:proofErr w:type="spellEnd"/>
            <w:r w:rsidRPr="00CE2C28">
              <w:rPr>
                <w:sz w:val="16"/>
              </w:rPr>
              <w:t xml:space="preserve"> Quality Rating: 5</w:t>
            </w:r>
          </w:p>
          <w:p w:rsidR="008547E2" w:rsidRPr="00CE2C28" w:rsidRDefault="008547E2" w:rsidP="00F914D6">
            <w:pPr>
              <w:pStyle w:val="Table"/>
              <w:rPr>
                <w:sz w:val="16"/>
              </w:rPr>
            </w:pPr>
          </w:p>
        </w:tc>
      </w:tr>
      <w:tr w:rsidR="00BD69E6" w:rsidRPr="00CE2C28" w:rsidTr="00CE2C28">
        <w:trPr>
          <w:cantSplit/>
        </w:trPr>
        <w:tc>
          <w:tcPr>
            <w:tcW w:w="601" w:type="pct"/>
            <w:tcBorders>
              <w:top w:val="single" w:sz="6" w:space="0" w:color="808080"/>
              <w:left w:val="nil"/>
              <w:bottom w:val="single" w:sz="4" w:space="0" w:color="auto"/>
              <w:right w:val="nil"/>
            </w:tcBorders>
          </w:tcPr>
          <w:p w:rsidR="00BD69E6" w:rsidRPr="00CE2C28" w:rsidRDefault="00BD69E6" w:rsidP="002D0FE9">
            <w:pPr>
              <w:pStyle w:val="Table"/>
              <w:rPr>
                <w:sz w:val="16"/>
              </w:rPr>
            </w:pPr>
            <w:bookmarkStart w:id="3" w:name="_GoBack"/>
            <w:r w:rsidRPr="00CE2C28">
              <w:rPr>
                <w:sz w:val="16"/>
              </w:rPr>
              <w:t xml:space="preserve">Ford et al </w:t>
            </w:r>
            <w:r w:rsidR="00FB4C39" w:rsidRPr="00CE2C28">
              <w:rPr>
                <w:sz w:val="16"/>
              </w:rPr>
              <w:t xml:space="preserve">(2013):  </w:t>
            </w:r>
            <w:r w:rsidRPr="00CE2C28">
              <w:rPr>
                <w:sz w:val="16"/>
              </w:rPr>
              <w:t>chronic idiopathic constipation meta-analysis</w:t>
            </w:r>
            <w:r w:rsidRPr="00CE2C28">
              <w:rPr>
                <w:sz w:val="16"/>
                <w:vertAlign w:val="superscript"/>
              </w:rPr>
              <w:t>4</w:t>
            </w:r>
          </w:p>
          <w:p w:rsidR="00AF100F" w:rsidRPr="00CE2C28" w:rsidRDefault="00AF100F" w:rsidP="002D0FE9">
            <w:pPr>
              <w:pStyle w:val="Table"/>
              <w:rPr>
                <w:sz w:val="16"/>
              </w:rPr>
            </w:pPr>
          </w:p>
          <w:p w:rsidR="00AF100F" w:rsidRPr="00CE2C28" w:rsidRDefault="00AF100F" w:rsidP="00AF100F">
            <w:pPr>
              <w:pStyle w:val="Table"/>
              <w:rPr>
                <w:sz w:val="16"/>
              </w:rPr>
            </w:pPr>
            <w:r w:rsidRPr="00CE2C28">
              <w:rPr>
                <w:sz w:val="16"/>
              </w:rPr>
              <w:t>Efficacy measures:  failure to respond to therapy or effect on mean number</w:t>
            </w:r>
          </w:p>
          <w:p w:rsidR="00AF100F" w:rsidRPr="00CE2C28" w:rsidRDefault="00AF100F" w:rsidP="00AF100F">
            <w:pPr>
              <w:pStyle w:val="Table"/>
              <w:rPr>
                <w:sz w:val="16"/>
              </w:rPr>
            </w:pPr>
            <w:r w:rsidRPr="00CE2C28">
              <w:rPr>
                <w:sz w:val="16"/>
              </w:rPr>
              <w:t>of stools per week during treatment</w:t>
            </w:r>
          </w:p>
        </w:tc>
        <w:tc>
          <w:tcPr>
            <w:tcW w:w="608" w:type="pct"/>
            <w:tcBorders>
              <w:top w:val="single" w:sz="6" w:space="0" w:color="808080"/>
              <w:left w:val="nil"/>
              <w:bottom w:val="single" w:sz="4" w:space="0" w:color="auto"/>
              <w:right w:val="nil"/>
            </w:tcBorders>
          </w:tcPr>
          <w:p w:rsidR="00BD69E6" w:rsidRPr="00CE2C28" w:rsidRDefault="00BD69E6" w:rsidP="002D0FE9">
            <w:pPr>
              <w:pStyle w:val="Table"/>
              <w:rPr>
                <w:sz w:val="16"/>
              </w:rPr>
            </w:pPr>
            <w:r w:rsidRPr="00CE2C28">
              <w:rPr>
                <w:sz w:val="16"/>
              </w:rPr>
              <w:t xml:space="preserve">RCT of laxatives, </w:t>
            </w:r>
            <w:proofErr w:type="spellStart"/>
            <w:r w:rsidRPr="00CE2C28">
              <w:rPr>
                <w:sz w:val="16"/>
              </w:rPr>
              <w:t>prucalopride</w:t>
            </w:r>
            <w:proofErr w:type="spellEnd"/>
            <w:r w:rsidRPr="00CE2C28">
              <w:rPr>
                <w:sz w:val="16"/>
              </w:rPr>
              <w:t xml:space="preserve">, </w:t>
            </w:r>
            <w:proofErr w:type="spellStart"/>
            <w:r w:rsidRPr="00CE2C28">
              <w:rPr>
                <w:sz w:val="16"/>
              </w:rPr>
              <w:t>lubiprostone</w:t>
            </w:r>
            <w:proofErr w:type="spellEnd"/>
            <w:r w:rsidRPr="00CE2C28">
              <w:rPr>
                <w:sz w:val="16"/>
              </w:rPr>
              <w:t xml:space="preserve">, or </w:t>
            </w:r>
            <w:proofErr w:type="spellStart"/>
            <w:r w:rsidRPr="00CE2C28">
              <w:rPr>
                <w:sz w:val="16"/>
              </w:rPr>
              <w:t>linaclotide</w:t>
            </w:r>
            <w:proofErr w:type="spellEnd"/>
            <w:r w:rsidRPr="00CE2C28">
              <w:rPr>
                <w:sz w:val="16"/>
              </w:rPr>
              <w:t xml:space="preserve"> for ≥ 7 days in adults with chronic idiopathic constipation</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Exclusion criteria included trials of organic constipation, drug-induced constipation, and highly selected patients (e.g. elderly institutionalized patients)</w:t>
            </w:r>
          </w:p>
          <w:p w:rsidR="008B133B" w:rsidRPr="00CE2C28" w:rsidRDefault="008B133B" w:rsidP="002D0FE9">
            <w:pPr>
              <w:pStyle w:val="Table"/>
              <w:rPr>
                <w:sz w:val="16"/>
              </w:rPr>
            </w:pPr>
          </w:p>
          <w:p w:rsidR="008B133B" w:rsidRPr="00CE2C28" w:rsidRDefault="008B133B" w:rsidP="002D0FE9">
            <w:pPr>
              <w:pStyle w:val="Table"/>
              <w:rPr>
                <w:sz w:val="16"/>
              </w:rPr>
            </w:pPr>
            <w:r w:rsidRPr="00CE2C28">
              <w:rPr>
                <w:sz w:val="16"/>
              </w:rPr>
              <w:t xml:space="preserve">Individual trials used varying definitions for responders. </w:t>
            </w:r>
          </w:p>
          <w:p w:rsidR="006A6C66" w:rsidRPr="00CE2C28" w:rsidRDefault="006A6C66" w:rsidP="002D0FE9">
            <w:pPr>
              <w:pStyle w:val="Table"/>
              <w:rPr>
                <w:sz w:val="16"/>
              </w:rPr>
            </w:pPr>
          </w:p>
          <w:p w:rsidR="006A6C66" w:rsidRPr="00CE2C28" w:rsidRDefault="006A6C66" w:rsidP="002D0FE9">
            <w:pPr>
              <w:pStyle w:val="Table"/>
              <w:rPr>
                <w:sz w:val="16"/>
              </w:rPr>
            </w:pPr>
          </w:p>
        </w:tc>
        <w:tc>
          <w:tcPr>
            <w:tcW w:w="706" w:type="pct"/>
            <w:tcBorders>
              <w:top w:val="single" w:sz="6" w:space="0" w:color="808080"/>
              <w:left w:val="nil"/>
              <w:bottom w:val="single" w:sz="4" w:space="0" w:color="auto"/>
              <w:right w:val="nil"/>
            </w:tcBorders>
          </w:tcPr>
          <w:p w:rsidR="00BD69E6" w:rsidRPr="00CE2C28" w:rsidRDefault="00AF100F" w:rsidP="002D0FE9">
            <w:pPr>
              <w:pStyle w:val="Table"/>
              <w:rPr>
                <w:sz w:val="16"/>
              </w:rPr>
            </w:pPr>
            <w:r w:rsidRPr="00CE2C28">
              <w:rPr>
                <w:sz w:val="16"/>
              </w:rPr>
              <w:t xml:space="preserve">Polyethylene glycol, sodium </w:t>
            </w:r>
            <w:proofErr w:type="spellStart"/>
            <w:r w:rsidRPr="00CE2C28">
              <w:rPr>
                <w:sz w:val="16"/>
              </w:rPr>
              <w:t>picosulfate</w:t>
            </w:r>
            <w:proofErr w:type="spellEnd"/>
            <w:r w:rsidRPr="00CE2C28">
              <w:rPr>
                <w:sz w:val="16"/>
              </w:rPr>
              <w:t xml:space="preserve">, </w:t>
            </w:r>
            <w:proofErr w:type="spellStart"/>
            <w:r w:rsidRPr="00CE2C28">
              <w:rPr>
                <w:sz w:val="16"/>
              </w:rPr>
              <w:t>bisacodyl</w:t>
            </w:r>
            <w:proofErr w:type="spellEnd"/>
            <w:r w:rsidRPr="00CE2C28">
              <w:rPr>
                <w:sz w:val="16"/>
              </w:rPr>
              <w:t>, lactulose</w:t>
            </w:r>
          </w:p>
          <w:p w:rsidR="00AF100F" w:rsidRPr="00CE2C28" w:rsidRDefault="00AF100F" w:rsidP="002D0FE9">
            <w:pPr>
              <w:pStyle w:val="Table"/>
              <w:rPr>
                <w:sz w:val="16"/>
              </w:rPr>
            </w:pPr>
          </w:p>
          <w:p w:rsidR="00AF100F" w:rsidRPr="00CE2C28" w:rsidRDefault="00AF100F" w:rsidP="002D0FE9">
            <w:pPr>
              <w:pStyle w:val="Table"/>
              <w:rPr>
                <w:sz w:val="16"/>
              </w:rPr>
            </w:pPr>
            <w:proofErr w:type="spellStart"/>
            <w:r w:rsidRPr="00CE2C28">
              <w:rPr>
                <w:sz w:val="16"/>
              </w:rPr>
              <w:t>Prucalopride</w:t>
            </w:r>
            <w:proofErr w:type="spellEnd"/>
            <w:r w:rsidRPr="00CE2C28">
              <w:rPr>
                <w:sz w:val="16"/>
              </w:rPr>
              <w:t xml:space="preserve"> (not approved in U.S.)</w:t>
            </w:r>
          </w:p>
          <w:p w:rsidR="00AF100F" w:rsidRPr="00CE2C28" w:rsidRDefault="00AF100F" w:rsidP="002D0FE9">
            <w:pPr>
              <w:pStyle w:val="Table"/>
              <w:rPr>
                <w:sz w:val="16"/>
              </w:rPr>
            </w:pPr>
          </w:p>
          <w:p w:rsidR="00AF100F" w:rsidRPr="00CE2C28" w:rsidRDefault="00AF100F" w:rsidP="002D0FE9">
            <w:pPr>
              <w:pStyle w:val="Table"/>
              <w:rPr>
                <w:sz w:val="16"/>
              </w:rPr>
            </w:pPr>
            <w:r w:rsidRPr="00CE2C28">
              <w:rPr>
                <w:sz w:val="16"/>
              </w:rPr>
              <w:t>Lubiprostone</w:t>
            </w:r>
          </w:p>
          <w:p w:rsidR="00AF100F" w:rsidRPr="00CE2C28" w:rsidRDefault="00AF100F" w:rsidP="002D0FE9">
            <w:pPr>
              <w:pStyle w:val="Table"/>
              <w:rPr>
                <w:sz w:val="16"/>
              </w:rPr>
            </w:pPr>
          </w:p>
          <w:p w:rsidR="00AF100F" w:rsidRPr="00CE2C28" w:rsidRDefault="00AF100F" w:rsidP="002D0FE9">
            <w:pPr>
              <w:pStyle w:val="Table"/>
              <w:rPr>
                <w:sz w:val="16"/>
              </w:rPr>
            </w:pPr>
            <w:r w:rsidRPr="00CE2C28">
              <w:rPr>
                <w:sz w:val="16"/>
              </w:rPr>
              <w:t>Linaclotide</w:t>
            </w:r>
          </w:p>
        </w:tc>
        <w:tc>
          <w:tcPr>
            <w:tcW w:w="758" w:type="pct"/>
            <w:tcBorders>
              <w:top w:val="single" w:sz="6" w:space="0" w:color="808080"/>
              <w:left w:val="nil"/>
              <w:bottom w:val="single" w:sz="4" w:space="0" w:color="auto"/>
              <w:right w:val="nil"/>
            </w:tcBorders>
          </w:tcPr>
          <w:p w:rsidR="00BD69E6" w:rsidRPr="00CE2C28" w:rsidRDefault="00BD69E6" w:rsidP="002D0FE9">
            <w:pPr>
              <w:pStyle w:val="Table"/>
              <w:rPr>
                <w:sz w:val="16"/>
              </w:rPr>
            </w:pPr>
            <w:r w:rsidRPr="00CE2C28">
              <w:rPr>
                <w:sz w:val="16"/>
              </w:rPr>
              <w:t xml:space="preserve">Laxatives: 8 </w:t>
            </w:r>
            <w:r w:rsidR="006A6C66" w:rsidRPr="00CE2C28">
              <w:rPr>
                <w:sz w:val="16"/>
              </w:rPr>
              <w:t>trials</w:t>
            </w:r>
            <w:r w:rsidRPr="00CE2C28">
              <w:rPr>
                <w:sz w:val="16"/>
              </w:rPr>
              <w:t xml:space="preserve"> with 1442 total patients. 5 trials had a low risk of bias and  6 allowed rescue laxatives</w:t>
            </w:r>
          </w:p>
          <w:p w:rsidR="00BD69E6" w:rsidRPr="00CE2C28" w:rsidRDefault="00BD69E6" w:rsidP="002D0FE9">
            <w:pPr>
              <w:pStyle w:val="Table"/>
              <w:rPr>
                <w:sz w:val="16"/>
              </w:rPr>
            </w:pPr>
          </w:p>
          <w:p w:rsidR="00BD69E6" w:rsidRPr="00CE2C28" w:rsidRDefault="00BD69E6" w:rsidP="002D0FE9">
            <w:pPr>
              <w:pStyle w:val="Table"/>
              <w:rPr>
                <w:sz w:val="16"/>
              </w:rPr>
            </w:pPr>
            <w:proofErr w:type="spellStart"/>
            <w:r w:rsidRPr="00CE2C28">
              <w:rPr>
                <w:sz w:val="16"/>
              </w:rPr>
              <w:t>Pr</w:t>
            </w:r>
            <w:r w:rsidR="006A6C66" w:rsidRPr="00CE2C28">
              <w:rPr>
                <w:sz w:val="16"/>
              </w:rPr>
              <w:t>u</w:t>
            </w:r>
            <w:r w:rsidRPr="00CE2C28">
              <w:rPr>
                <w:sz w:val="16"/>
              </w:rPr>
              <w:t>calopride</w:t>
            </w:r>
            <w:proofErr w:type="spellEnd"/>
            <w:r w:rsidRPr="00CE2C28">
              <w:rPr>
                <w:sz w:val="16"/>
              </w:rPr>
              <w:t>: 7 trials with 2639 total patients. All were low risk of bias and 6 allowed rescue laxatives</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Lubiprostone: 3 trials with 610 total patients. 1 was low risk of bias and all allowed rescue laxatives</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Linaclotide: 2 trials with 1582 total patients. Both were low risk of bias and allowed rescue laxatives. </w:t>
            </w:r>
          </w:p>
        </w:tc>
        <w:tc>
          <w:tcPr>
            <w:tcW w:w="1058" w:type="pct"/>
            <w:tcBorders>
              <w:top w:val="single" w:sz="6" w:space="0" w:color="808080"/>
              <w:left w:val="nil"/>
              <w:bottom w:val="single" w:sz="4" w:space="0" w:color="auto"/>
              <w:right w:val="nil"/>
            </w:tcBorders>
          </w:tcPr>
          <w:p w:rsidR="00BD69E6" w:rsidRPr="00CE2C28" w:rsidRDefault="00BD69E6" w:rsidP="002D0FE9">
            <w:pPr>
              <w:pStyle w:val="Table"/>
              <w:rPr>
                <w:sz w:val="16"/>
              </w:rPr>
            </w:pPr>
            <w:r w:rsidRPr="00CE2C28">
              <w:rPr>
                <w:sz w:val="16"/>
              </w:rPr>
              <w:t>Laxatives: 40.1% failed to respond vs. 73.3% placebo, RR 0.52 (95% CI 0.46-0.60), NNT 3</w:t>
            </w:r>
            <w:r w:rsidR="00AF100F" w:rsidRPr="00CE2C28">
              <w:rPr>
                <w:sz w:val="16"/>
              </w:rPr>
              <w:t xml:space="preserve"> (95% CI 2–4)</w:t>
            </w:r>
          </w:p>
          <w:p w:rsidR="00BD69E6" w:rsidRPr="00CE2C28" w:rsidRDefault="00BD69E6" w:rsidP="002D0FE9">
            <w:pPr>
              <w:pStyle w:val="Table"/>
              <w:rPr>
                <w:sz w:val="16"/>
              </w:rPr>
            </w:pPr>
          </w:p>
          <w:p w:rsidR="00BD69E6" w:rsidRPr="00CE2C28" w:rsidRDefault="00BD69E6" w:rsidP="002D0FE9">
            <w:pPr>
              <w:pStyle w:val="Table"/>
              <w:rPr>
                <w:sz w:val="16"/>
              </w:rPr>
            </w:pPr>
            <w:proofErr w:type="spellStart"/>
            <w:r w:rsidRPr="00CE2C28">
              <w:rPr>
                <w:sz w:val="16"/>
              </w:rPr>
              <w:t>Prucalopride</w:t>
            </w:r>
            <w:proofErr w:type="spellEnd"/>
            <w:r w:rsidRPr="00CE2C28">
              <w:rPr>
                <w:sz w:val="16"/>
              </w:rPr>
              <w:t>: 71.7% failed to respond vs. 86.7% placebo, RR 0.82 (95% CI 0.76-0.88), NNT 6</w:t>
            </w:r>
            <w:r w:rsidR="00AF100F" w:rsidRPr="00CE2C28">
              <w:rPr>
                <w:sz w:val="16"/>
              </w:rPr>
              <w:t xml:space="preserve"> (5–9)</w:t>
            </w:r>
            <w:r w:rsidRPr="00CE2C28">
              <w:rPr>
                <w:sz w:val="16"/>
              </w:rPr>
              <w:t xml:space="preserve"> </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Lubiprostone: 45.1% failed to respond vs. 66.9% placebo, RR 0.67 (95% CI 0.56-0.80), NNT 4</w:t>
            </w:r>
            <w:r w:rsidR="00AF100F" w:rsidRPr="00CE2C28">
              <w:rPr>
                <w:sz w:val="16"/>
              </w:rPr>
              <w:t xml:space="preserve"> (3–7)</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Linaclotide: 79.0% failed to respond vs. 94.9% placebo, RR 0.84 (95% CI 0.80-0.87), NNT 6</w:t>
            </w:r>
            <w:r w:rsidR="00AF100F" w:rsidRPr="00CE2C28">
              <w:rPr>
                <w:sz w:val="16"/>
              </w:rPr>
              <w:t xml:space="preserve"> (5–8)</w:t>
            </w:r>
          </w:p>
        </w:tc>
        <w:tc>
          <w:tcPr>
            <w:tcW w:w="579" w:type="pct"/>
            <w:tcBorders>
              <w:top w:val="single" w:sz="6" w:space="0" w:color="808080"/>
              <w:left w:val="nil"/>
              <w:bottom w:val="single" w:sz="4" w:space="0" w:color="auto"/>
              <w:right w:val="nil"/>
            </w:tcBorders>
          </w:tcPr>
          <w:p w:rsidR="00BD69E6" w:rsidRPr="00CE2C28" w:rsidRDefault="00BD69E6" w:rsidP="002D0FE9">
            <w:pPr>
              <w:pStyle w:val="Table"/>
              <w:rPr>
                <w:sz w:val="16"/>
              </w:rPr>
            </w:pPr>
            <w:r w:rsidRPr="00CE2C28">
              <w:rPr>
                <w:sz w:val="16"/>
              </w:rPr>
              <w:t>Laxatives: RR any adverse event 1.94 (95% CI 1.52-2.47). RR diarrhea 13.75 (95% CI 2.82-67.14)</w:t>
            </w:r>
          </w:p>
          <w:p w:rsidR="00BD69E6" w:rsidRPr="00CE2C28" w:rsidRDefault="00BD69E6" w:rsidP="002D0FE9">
            <w:pPr>
              <w:pStyle w:val="Table"/>
              <w:rPr>
                <w:sz w:val="16"/>
              </w:rPr>
            </w:pPr>
          </w:p>
          <w:p w:rsidR="00BD69E6" w:rsidRPr="00CE2C28" w:rsidRDefault="00BD69E6" w:rsidP="002D0FE9">
            <w:pPr>
              <w:pStyle w:val="Table"/>
              <w:rPr>
                <w:sz w:val="16"/>
              </w:rPr>
            </w:pPr>
            <w:proofErr w:type="spellStart"/>
            <w:r w:rsidRPr="00CE2C28">
              <w:rPr>
                <w:sz w:val="16"/>
              </w:rPr>
              <w:t>Prucalopride</w:t>
            </w:r>
            <w:proofErr w:type="spellEnd"/>
            <w:r w:rsidRPr="00CE2C28">
              <w:rPr>
                <w:sz w:val="16"/>
              </w:rPr>
              <w:t xml:space="preserve">: RR any adverse event 1.14 (95% CI 1.05-1.24). RR HA 1.70 (95% </w:t>
            </w:r>
            <w:proofErr w:type="spellStart"/>
            <w:r w:rsidRPr="00CE2C28">
              <w:rPr>
                <w:sz w:val="16"/>
              </w:rPr>
              <w:t>Ci</w:t>
            </w:r>
            <w:proofErr w:type="spellEnd"/>
            <w:r w:rsidRPr="00CE2C28">
              <w:rPr>
                <w:sz w:val="16"/>
              </w:rPr>
              <w:t xml:space="preserve"> 1.25-2.31). RR nausea 1.98 (95% CI 1.39-2.82). RR diarrhea 2.72 (95% CI 1.80-4.13). </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Lubiprostone: RR total adverse event 1.79 (95% CI 1.21-2.65). RR diarrhea 4.46 (95% CI 1.28-15.48). RR nausea 7.27 (95% CI 3.76-14.06). </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Linaclotide: total adverse events 33.6% vs. 31.9% placebo. RR diarrhea 3.08 (95% CI 1.27-7.48). </w:t>
            </w:r>
          </w:p>
          <w:p w:rsidR="00BD69E6" w:rsidRPr="00CE2C28" w:rsidRDefault="00BD69E6" w:rsidP="002D0FE9">
            <w:pPr>
              <w:pStyle w:val="Table"/>
              <w:rPr>
                <w:sz w:val="16"/>
              </w:rPr>
            </w:pPr>
          </w:p>
        </w:tc>
        <w:tc>
          <w:tcPr>
            <w:tcW w:w="689" w:type="pct"/>
            <w:tcBorders>
              <w:top w:val="single" w:sz="6" w:space="0" w:color="808080"/>
              <w:left w:val="nil"/>
              <w:bottom w:val="single" w:sz="4" w:space="0" w:color="auto"/>
              <w:right w:val="nil"/>
            </w:tcBorders>
          </w:tcPr>
          <w:p w:rsidR="00BD69E6" w:rsidRPr="00CE2C28" w:rsidRDefault="00FB4C39" w:rsidP="00FB4C39">
            <w:pPr>
              <w:pStyle w:val="Table"/>
              <w:rPr>
                <w:sz w:val="16"/>
              </w:rPr>
            </w:pPr>
            <w:r w:rsidRPr="00CE2C28">
              <w:rPr>
                <w:sz w:val="16"/>
              </w:rPr>
              <w:t>Osmotic or stimulant l</w:t>
            </w:r>
            <w:r w:rsidR="00BD69E6" w:rsidRPr="00CE2C28">
              <w:rPr>
                <w:sz w:val="16"/>
              </w:rPr>
              <w:t>axatives</w:t>
            </w:r>
            <w:r w:rsidRPr="00CE2C28">
              <w:rPr>
                <w:sz w:val="16"/>
              </w:rPr>
              <w:t xml:space="preserve"> (polyethylene glycol, sodium </w:t>
            </w:r>
            <w:proofErr w:type="spellStart"/>
            <w:r w:rsidRPr="00CE2C28">
              <w:rPr>
                <w:sz w:val="16"/>
              </w:rPr>
              <w:t>picosulfate</w:t>
            </w:r>
            <w:proofErr w:type="spellEnd"/>
            <w:r w:rsidRPr="00CE2C28">
              <w:rPr>
                <w:sz w:val="16"/>
              </w:rPr>
              <w:t xml:space="preserve">, </w:t>
            </w:r>
            <w:proofErr w:type="spellStart"/>
            <w:proofErr w:type="gramStart"/>
            <w:r w:rsidRPr="00CE2C28">
              <w:rPr>
                <w:sz w:val="16"/>
              </w:rPr>
              <w:t>bisacodyl</w:t>
            </w:r>
            <w:proofErr w:type="spellEnd"/>
            <w:proofErr w:type="gramEnd"/>
            <w:r w:rsidRPr="00CE2C28">
              <w:rPr>
                <w:sz w:val="16"/>
              </w:rPr>
              <w:t xml:space="preserve">), </w:t>
            </w:r>
            <w:proofErr w:type="spellStart"/>
            <w:r w:rsidR="00BD69E6" w:rsidRPr="00CE2C28">
              <w:rPr>
                <w:sz w:val="16"/>
              </w:rPr>
              <w:t>prucalopride</w:t>
            </w:r>
            <w:proofErr w:type="spellEnd"/>
            <w:r w:rsidR="00BD69E6" w:rsidRPr="00CE2C28">
              <w:rPr>
                <w:sz w:val="16"/>
              </w:rPr>
              <w:t xml:space="preserve">, </w:t>
            </w:r>
            <w:proofErr w:type="spellStart"/>
            <w:r w:rsidR="00BD69E6" w:rsidRPr="00CE2C28">
              <w:rPr>
                <w:sz w:val="16"/>
              </w:rPr>
              <w:t>lub</w:t>
            </w:r>
            <w:r w:rsidRPr="00CE2C28">
              <w:rPr>
                <w:sz w:val="16"/>
              </w:rPr>
              <w:t>i</w:t>
            </w:r>
            <w:r w:rsidR="00BD69E6" w:rsidRPr="00CE2C28">
              <w:rPr>
                <w:sz w:val="16"/>
              </w:rPr>
              <w:t>prostone</w:t>
            </w:r>
            <w:proofErr w:type="spellEnd"/>
            <w:r w:rsidR="00BD69E6" w:rsidRPr="00CE2C28">
              <w:rPr>
                <w:sz w:val="16"/>
              </w:rPr>
              <w:t>, and linaclotide are superior to placebo for the treatment of CIC. 50</w:t>
            </w:r>
            <w:r w:rsidRPr="00CE2C28">
              <w:rPr>
                <w:sz w:val="16"/>
              </w:rPr>
              <w:t>%–</w:t>
            </w:r>
            <w:r w:rsidR="00BD69E6" w:rsidRPr="00CE2C28">
              <w:rPr>
                <w:sz w:val="16"/>
              </w:rPr>
              <w:t xml:space="preserve">85% of patients did not fulfill criteria for response to therapy. Head-to-head comparison studies are needed. </w:t>
            </w:r>
          </w:p>
          <w:p w:rsidR="00BD69E6" w:rsidRPr="00CE2C28" w:rsidRDefault="00BD69E6" w:rsidP="002D0FE9">
            <w:pPr>
              <w:pStyle w:val="Table"/>
              <w:rPr>
                <w:sz w:val="16"/>
              </w:rPr>
            </w:pPr>
          </w:p>
          <w:p w:rsidR="00BD69E6" w:rsidRPr="00CE2C28" w:rsidRDefault="00BD69E6" w:rsidP="002D0FE9">
            <w:pPr>
              <w:pStyle w:val="Table"/>
              <w:rPr>
                <w:sz w:val="16"/>
              </w:rPr>
            </w:pPr>
            <w:r w:rsidRPr="00CE2C28">
              <w:rPr>
                <w:sz w:val="16"/>
              </w:rPr>
              <w:t xml:space="preserve">Limitations: Only 12 of 21 trials included had a low risk of bias and only 2 were conducted in primary care. Most patients were female. Few studies reported individual symptoms of CIC. </w:t>
            </w:r>
          </w:p>
          <w:p w:rsidR="009C60E1" w:rsidRPr="00CE2C28" w:rsidRDefault="009C60E1" w:rsidP="002D0FE9">
            <w:pPr>
              <w:pStyle w:val="Table"/>
              <w:rPr>
                <w:sz w:val="16"/>
              </w:rPr>
            </w:pPr>
          </w:p>
          <w:p w:rsidR="009C60E1" w:rsidRPr="00CE2C28" w:rsidRDefault="009C60E1" w:rsidP="009C60E1">
            <w:pPr>
              <w:pStyle w:val="Table"/>
              <w:rPr>
                <w:sz w:val="16"/>
              </w:rPr>
            </w:pPr>
            <w:r w:rsidRPr="00CE2C28">
              <w:rPr>
                <w:sz w:val="16"/>
              </w:rPr>
              <w:t>The lower NNTs for laxatives probably reflect more stringent endpoints and a more recalcitrant patient population in the trials evaluating the newer agents.</w:t>
            </w:r>
          </w:p>
        </w:tc>
      </w:tr>
      <w:bookmarkEnd w:id="3"/>
    </w:tbl>
    <w:p w:rsidR="00FF7E38" w:rsidRDefault="00FF7E38"/>
    <w:p w:rsidR="00FF7E38" w:rsidRDefault="00FF7E38"/>
    <w:p w:rsidR="00FF7E38" w:rsidRDefault="002D0FE9" w:rsidP="000566E9">
      <w:pPr>
        <w:pStyle w:val="Caption"/>
      </w:pPr>
      <w:r>
        <w:t xml:space="preserve">Summary of </w:t>
      </w:r>
      <w:r w:rsidR="00FF7E38">
        <w:t>Linaclotide</w:t>
      </w:r>
      <w:r>
        <w:t xml:space="preserve"> Clinical Trials</w:t>
      </w:r>
      <w:r w:rsidR="00FF7E38">
        <w:t>:  Irritable Bowel Syndrome Characterized by Constipation</w:t>
      </w:r>
    </w:p>
    <w:tbl>
      <w:tblPr>
        <w:tblW w:w="5000" w:type="pct"/>
        <w:tblBorders>
          <w:top w:val="single" w:sz="12" w:space="0" w:color="808080"/>
          <w:left w:val="nil"/>
          <w:bottom w:val="single" w:sz="12" w:space="0" w:color="808080"/>
          <w:right w:val="nil"/>
          <w:insideH w:val="nil"/>
          <w:insideV w:val="nil"/>
        </w:tblBorders>
        <w:tblLook w:val="00E0" w:firstRow="1" w:lastRow="1" w:firstColumn="1" w:lastColumn="0" w:noHBand="0" w:noVBand="0"/>
      </w:tblPr>
      <w:tblGrid>
        <w:gridCol w:w="1585"/>
        <w:gridCol w:w="1603"/>
        <w:gridCol w:w="1861"/>
        <w:gridCol w:w="1997"/>
        <w:gridCol w:w="2788"/>
        <w:gridCol w:w="1526"/>
        <w:gridCol w:w="1816"/>
      </w:tblGrid>
      <w:tr w:rsidR="00BD69E6" w:rsidRPr="00CE2C28" w:rsidTr="002D0FE9">
        <w:trPr>
          <w:tblHeader/>
        </w:trPr>
        <w:tc>
          <w:tcPr>
            <w:tcW w:w="601"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Citation</w:t>
            </w:r>
          </w:p>
          <w:p w:rsidR="00BD69E6" w:rsidRPr="00CE2C28" w:rsidRDefault="00BD69E6" w:rsidP="002D0FE9">
            <w:pPr>
              <w:pStyle w:val="Table"/>
              <w:rPr>
                <w:b/>
                <w:bCs/>
                <w:sz w:val="16"/>
              </w:rPr>
            </w:pPr>
            <w:r w:rsidRPr="00CE2C28">
              <w:rPr>
                <w:b/>
                <w:bCs/>
                <w:sz w:val="16"/>
              </w:rPr>
              <w:t>Design</w:t>
            </w:r>
          </w:p>
          <w:p w:rsidR="00BD69E6" w:rsidRPr="00CE2C28" w:rsidRDefault="00BD69E6" w:rsidP="002D0FE9">
            <w:pPr>
              <w:pStyle w:val="Table"/>
              <w:rPr>
                <w:b/>
                <w:bCs/>
                <w:sz w:val="16"/>
              </w:rPr>
            </w:pPr>
            <w:r w:rsidRPr="00CE2C28">
              <w:rPr>
                <w:b/>
                <w:bCs/>
                <w:sz w:val="16"/>
              </w:rPr>
              <w:t>Analysis type</w:t>
            </w:r>
          </w:p>
          <w:p w:rsidR="00BD69E6" w:rsidRPr="00CE2C28" w:rsidRDefault="00BD69E6" w:rsidP="002D0FE9">
            <w:pPr>
              <w:pStyle w:val="Table"/>
              <w:rPr>
                <w:b/>
                <w:bCs/>
                <w:sz w:val="16"/>
              </w:rPr>
            </w:pPr>
            <w:r w:rsidRPr="00CE2C28">
              <w:rPr>
                <w:b/>
                <w:bCs/>
                <w:sz w:val="16"/>
              </w:rPr>
              <w:t>Setting</w:t>
            </w:r>
          </w:p>
        </w:tc>
        <w:tc>
          <w:tcPr>
            <w:tcW w:w="608"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Eligibility Criteria</w:t>
            </w:r>
          </w:p>
        </w:tc>
        <w:tc>
          <w:tcPr>
            <w:tcW w:w="706"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Interventions</w:t>
            </w:r>
          </w:p>
        </w:tc>
        <w:tc>
          <w:tcPr>
            <w:tcW w:w="758"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Patient Population Profile</w:t>
            </w:r>
          </w:p>
        </w:tc>
        <w:tc>
          <w:tcPr>
            <w:tcW w:w="1058"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Efficacy Results</w:t>
            </w:r>
          </w:p>
          <w:p w:rsidR="00BD69E6" w:rsidRPr="00CE2C28" w:rsidRDefault="00BD69E6" w:rsidP="002D0FE9">
            <w:pPr>
              <w:pStyle w:val="Table"/>
              <w:rPr>
                <w:b/>
                <w:bCs/>
                <w:sz w:val="16"/>
              </w:rPr>
            </w:pPr>
          </w:p>
        </w:tc>
        <w:tc>
          <w:tcPr>
            <w:tcW w:w="579"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Safety Results</w:t>
            </w:r>
          </w:p>
        </w:tc>
        <w:tc>
          <w:tcPr>
            <w:tcW w:w="689" w:type="pct"/>
            <w:tcBorders>
              <w:top w:val="single" w:sz="12" w:space="0" w:color="auto"/>
              <w:bottom w:val="single" w:sz="6" w:space="0" w:color="auto"/>
            </w:tcBorders>
            <w:vAlign w:val="bottom"/>
          </w:tcPr>
          <w:p w:rsidR="00BD69E6" w:rsidRPr="00CE2C28" w:rsidRDefault="00BD69E6" w:rsidP="002D0FE9">
            <w:pPr>
              <w:pStyle w:val="Table"/>
              <w:rPr>
                <w:b/>
                <w:bCs/>
                <w:sz w:val="16"/>
              </w:rPr>
            </w:pPr>
            <w:r w:rsidRPr="00CE2C28">
              <w:rPr>
                <w:b/>
                <w:bCs/>
                <w:sz w:val="16"/>
              </w:rPr>
              <w:t>Author’s conclusions (optional)</w:t>
            </w:r>
          </w:p>
          <w:p w:rsidR="00BD69E6" w:rsidRPr="00CE2C28" w:rsidRDefault="00BD69E6" w:rsidP="002D0FE9">
            <w:pPr>
              <w:pStyle w:val="Table"/>
              <w:rPr>
                <w:b/>
                <w:bCs/>
                <w:sz w:val="16"/>
              </w:rPr>
            </w:pPr>
          </w:p>
          <w:p w:rsidR="00BD69E6" w:rsidRPr="00CE2C28" w:rsidRDefault="00BD69E6" w:rsidP="002D0FE9">
            <w:pPr>
              <w:pStyle w:val="Table"/>
              <w:rPr>
                <w:b/>
                <w:bCs/>
                <w:i/>
                <w:iCs/>
                <w:sz w:val="16"/>
              </w:rPr>
            </w:pPr>
            <w:r w:rsidRPr="00CE2C28">
              <w:rPr>
                <w:b/>
                <w:bCs/>
                <w:i/>
                <w:iCs/>
                <w:sz w:val="16"/>
              </w:rPr>
              <w:t>Critique</w:t>
            </w:r>
          </w:p>
          <w:p w:rsidR="00BD69E6" w:rsidRPr="00CE2C28" w:rsidRDefault="00BD69E6" w:rsidP="002D0FE9">
            <w:pPr>
              <w:pStyle w:val="Table"/>
              <w:rPr>
                <w:b/>
                <w:bCs/>
                <w:sz w:val="16"/>
              </w:rPr>
            </w:pPr>
            <w:r w:rsidRPr="00CE2C28">
              <w:rPr>
                <w:b/>
                <w:bCs/>
                <w:sz w:val="16"/>
              </w:rPr>
              <w:t>(optional)</w:t>
            </w:r>
          </w:p>
        </w:tc>
      </w:tr>
      <w:tr w:rsidR="00FF7E38" w:rsidRPr="00CE2C28" w:rsidTr="002D0FE9">
        <w:tc>
          <w:tcPr>
            <w:tcW w:w="601" w:type="pct"/>
            <w:tcBorders>
              <w:top w:val="single" w:sz="6" w:space="0" w:color="auto"/>
            </w:tcBorders>
          </w:tcPr>
          <w:p w:rsidR="00FF7E38" w:rsidRPr="00CE2C28" w:rsidRDefault="00FF7E38" w:rsidP="002D0FE9">
            <w:pPr>
              <w:pStyle w:val="Table"/>
              <w:rPr>
                <w:sz w:val="16"/>
              </w:rPr>
            </w:pPr>
            <w:r w:rsidRPr="00CE2C28">
              <w:rPr>
                <w:sz w:val="16"/>
              </w:rPr>
              <w:t>Rao (2012)</w:t>
            </w:r>
          </w:p>
          <w:p w:rsidR="00FF7E38" w:rsidRPr="00CE2C28" w:rsidRDefault="00FF7E38" w:rsidP="002D0FE9">
            <w:pPr>
              <w:pStyle w:val="Table"/>
              <w:rPr>
                <w:sz w:val="16"/>
              </w:rPr>
            </w:pPr>
            <w:r w:rsidRPr="00CE2C28">
              <w:rPr>
                <w:sz w:val="16"/>
              </w:rPr>
              <w:t>Randomized, double-blind, placebo-controlled, multicenter ITT study</w:t>
            </w:r>
          </w:p>
          <w:p w:rsidR="00FF7E38" w:rsidRPr="00CE2C28" w:rsidRDefault="00FF7E38" w:rsidP="002D0FE9">
            <w:pPr>
              <w:pStyle w:val="Table"/>
              <w:rPr>
                <w:sz w:val="16"/>
                <w:vertAlign w:val="superscript"/>
              </w:rPr>
            </w:pPr>
            <w:r w:rsidRPr="00CE2C28">
              <w:rPr>
                <w:sz w:val="16"/>
              </w:rPr>
              <w:t>Outpatient centers</w:t>
            </w:r>
            <w:r w:rsidRPr="00CE2C28">
              <w:rPr>
                <w:sz w:val="16"/>
                <w:vertAlign w:val="superscript"/>
              </w:rPr>
              <w:t>5</w:t>
            </w:r>
          </w:p>
        </w:tc>
        <w:tc>
          <w:tcPr>
            <w:tcW w:w="608" w:type="pct"/>
            <w:tcBorders>
              <w:top w:val="single" w:sz="6" w:space="0" w:color="auto"/>
            </w:tcBorders>
          </w:tcPr>
          <w:p w:rsidR="00FF7E38" w:rsidRPr="00CE2C28" w:rsidRDefault="00FF7E38" w:rsidP="002D0FE9">
            <w:pPr>
              <w:pStyle w:val="Table"/>
              <w:rPr>
                <w:sz w:val="16"/>
                <w:lang w:val="es-PR"/>
              </w:rPr>
            </w:pPr>
            <w:proofErr w:type="spellStart"/>
            <w:r w:rsidRPr="00CE2C28">
              <w:rPr>
                <w:sz w:val="16"/>
                <w:lang w:val="es-PR"/>
              </w:rPr>
              <w:t>Inclusion</w:t>
            </w:r>
            <w:proofErr w:type="spellEnd"/>
            <w:r w:rsidRPr="00CE2C28">
              <w:rPr>
                <w:sz w:val="16"/>
                <w:lang w:val="es-PR"/>
              </w:rPr>
              <w:t xml:space="preserve"> </w:t>
            </w:r>
            <w:proofErr w:type="spellStart"/>
            <w:r w:rsidRPr="00CE2C28">
              <w:rPr>
                <w:sz w:val="16"/>
                <w:lang w:val="es-PR"/>
              </w:rPr>
              <w:t>criteria</w:t>
            </w:r>
            <w:proofErr w:type="spellEnd"/>
            <w:r w:rsidRPr="00CE2C28">
              <w:rPr>
                <w:sz w:val="16"/>
                <w:lang w:val="es-PR"/>
              </w:rPr>
              <w:t xml:space="preserve">: At </w:t>
            </w:r>
            <w:proofErr w:type="spellStart"/>
            <w:r w:rsidRPr="00CE2C28">
              <w:rPr>
                <w:sz w:val="16"/>
                <w:lang w:val="es-PR"/>
              </w:rPr>
              <w:t>least</w:t>
            </w:r>
            <w:proofErr w:type="spellEnd"/>
            <w:r w:rsidRPr="00CE2C28">
              <w:rPr>
                <w:sz w:val="16"/>
                <w:lang w:val="es-PR"/>
              </w:rPr>
              <w:t xml:space="preserve"> 18 </w:t>
            </w:r>
            <w:proofErr w:type="spellStart"/>
            <w:r w:rsidRPr="00CE2C28">
              <w:rPr>
                <w:sz w:val="16"/>
                <w:lang w:val="es-PR"/>
              </w:rPr>
              <w:t>years</w:t>
            </w:r>
            <w:proofErr w:type="spellEnd"/>
            <w:r w:rsidRPr="00CE2C28">
              <w:rPr>
                <w:sz w:val="16"/>
                <w:lang w:val="es-PR"/>
              </w:rPr>
              <w:t xml:space="preserve"> </w:t>
            </w:r>
            <w:proofErr w:type="spellStart"/>
            <w:r w:rsidRPr="00CE2C28">
              <w:rPr>
                <w:sz w:val="16"/>
                <w:lang w:val="es-PR"/>
              </w:rPr>
              <w:t>old</w:t>
            </w:r>
            <w:proofErr w:type="spellEnd"/>
            <w:r w:rsidRPr="00CE2C28">
              <w:rPr>
                <w:sz w:val="16"/>
                <w:lang w:val="es-PR"/>
              </w:rPr>
              <w:t xml:space="preserve">; </w:t>
            </w:r>
            <w:proofErr w:type="spellStart"/>
            <w:r w:rsidRPr="00CE2C28">
              <w:rPr>
                <w:sz w:val="16"/>
                <w:lang w:val="es-PR"/>
              </w:rPr>
              <w:t>met</w:t>
            </w:r>
            <w:proofErr w:type="spellEnd"/>
            <w:r w:rsidRPr="00CE2C28">
              <w:rPr>
                <w:sz w:val="16"/>
                <w:lang w:val="es-PR"/>
              </w:rPr>
              <w:t xml:space="preserve"> </w:t>
            </w:r>
            <w:proofErr w:type="spellStart"/>
            <w:r w:rsidRPr="00CE2C28">
              <w:rPr>
                <w:sz w:val="16"/>
                <w:lang w:val="es-PR"/>
              </w:rPr>
              <w:t>modified</w:t>
            </w:r>
            <w:proofErr w:type="spellEnd"/>
            <w:r w:rsidRPr="00CE2C28">
              <w:rPr>
                <w:sz w:val="16"/>
                <w:lang w:val="es-PR"/>
              </w:rPr>
              <w:t xml:space="preserve"> Rome II </w:t>
            </w:r>
            <w:proofErr w:type="spellStart"/>
            <w:r w:rsidRPr="00CE2C28">
              <w:rPr>
                <w:sz w:val="16"/>
                <w:lang w:val="es-PR"/>
              </w:rPr>
              <w:t>criteria</w:t>
            </w:r>
            <w:proofErr w:type="spellEnd"/>
            <w:r w:rsidRPr="00CE2C28">
              <w:rPr>
                <w:sz w:val="16"/>
                <w:lang w:val="es-PR"/>
              </w:rPr>
              <w:t xml:space="preserve"> </w:t>
            </w:r>
            <w:proofErr w:type="spellStart"/>
            <w:r w:rsidRPr="00CE2C28">
              <w:rPr>
                <w:sz w:val="16"/>
                <w:lang w:val="es-PR"/>
              </w:rPr>
              <w:t>for</w:t>
            </w:r>
            <w:proofErr w:type="spellEnd"/>
            <w:r w:rsidRPr="00CE2C28">
              <w:rPr>
                <w:sz w:val="16"/>
                <w:lang w:val="es-PR"/>
              </w:rPr>
              <w:t xml:space="preserve"> IBS-C (in </w:t>
            </w:r>
            <w:proofErr w:type="spellStart"/>
            <w:r w:rsidRPr="00CE2C28">
              <w:rPr>
                <w:sz w:val="16"/>
                <w:lang w:val="es-PR"/>
              </w:rPr>
              <w:t>the</w:t>
            </w:r>
            <w:proofErr w:type="spellEnd"/>
            <w:r w:rsidRPr="00CE2C28">
              <w:rPr>
                <w:sz w:val="16"/>
                <w:lang w:val="es-PR"/>
              </w:rPr>
              <w:t xml:space="preserve"> </w:t>
            </w:r>
            <w:proofErr w:type="spellStart"/>
            <w:r w:rsidRPr="00CE2C28">
              <w:rPr>
                <w:sz w:val="16"/>
                <w:lang w:val="es-PR"/>
              </w:rPr>
              <w:t>last</w:t>
            </w:r>
            <w:proofErr w:type="spellEnd"/>
            <w:r w:rsidRPr="00CE2C28">
              <w:rPr>
                <w:sz w:val="16"/>
                <w:lang w:val="es-PR"/>
              </w:rPr>
              <w:t xml:space="preserve"> 12 </w:t>
            </w:r>
            <w:proofErr w:type="spellStart"/>
            <w:r w:rsidRPr="00CE2C28">
              <w:rPr>
                <w:sz w:val="16"/>
                <w:lang w:val="es-PR"/>
              </w:rPr>
              <w:t>months</w:t>
            </w:r>
            <w:proofErr w:type="spellEnd"/>
            <w:r w:rsidRPr="00CE2C28">
              <w:rPr>
                <w:sz w:val="16"/>
                <w:lang w:val="es-PR"/>
              </w:rPr>
              <w:t xml:space="preserve">, at </w:t>
            </w:r>
            <w:proofErr w:type="spellStart"/>
            <w:r w:rsidRPr="00CE2C28">
              <w:rPr>
                <w:sz w:val="16"/>
                <w:lang w:val="es-PR"/>
              </w:rPr>
              <w:t>least</w:t>
            </w:r>
            <w:proofErr w:type="spellEnd"/>
            <w:r w:rsidRPr="00CE2C28">
              <w:rPr>
                <w:sz w:val="16"/>
                <w:lang w:val="es-PR"/>
              </w:rPr>
              <w:t xml:space="preserve"> 12 </w:t>
            </w:r>
            <w:proofErr w:type="spellStart"/>
            <w:r w:rsidRPr="00CE2C28">
              <w:rPr>
                <w:sz w:val="16"/>
                <w:lang w:val="es-PR"/>
              </w:rPr>
              <w:t>weeks</w:t>
            </w:r>
            <w:proofErr w:type="spellEnd"/>
            <w:r w:rsidRPr="00CE2C28">
              <w:rPr>
                <w:sz w:val="16"/>
                <w:lang w:val="es-PR"/>
              </w:rPr>
              <w:t xml:space="preserve"> of abdominal </w:t>
            </w:r>
            <w:proofErr w:type="spellStart"/>
            <w:r w:rsidRPr="00CE2C28">
              <w:rPr>
                <w:sz w:val="16"/>
                <w:lang w:val="es-PR"/>
              </w:rPr>
              <w:t>pain</w:t>
            </w:r>
            <w:proofErr w:type="spellEnd"/>
            <w:r w:rsidRPr="00CE2C28">
              <w:rPr>
                <w:sz w:val="16"/>
                <w:lang w:val="es-PR"/>
              </w:rPr>
              <w:t xml:space="preserve">/ </w:t>
            </w:r>
            <w:proofErr w:type="spellStart"/>
            <w:r w:rsidRPr="00CE2C28">
              <w:rPr>
                <w:sz w:val="16"/>
                <w:lang w:val="es-PR"/>
              </w:rPr>
              <w:t>dsicomfort</w:t>
            </w:r>
            <w:proofErr w:type="spellEnd"/>
            <w:r w:rsidRPr="00CE2C28">
              <w:rPr>
                <w:sz w:val="16"/>
                <w:lang w:val="es-PR"/>
              </w:rPr>
              <w:t xml:space="preserve"> </w:t>
            </w:r>
            <w:proofErr w:type="spellStart"/>
            <w:r w:rsidRPr="00CE2C28">
              <w:rPr>
                <w:sz w:val="16"/>
                <w:lang w:val="es-PR"/>
              </w:rPr>
              <w:t>with</w:t>
            </w:r>
            <w:proofErr w:type="spellEnd"/>
            <w:r w:rsidRPr="00CE2C28">
              <w:rPr>
                <w:sz w:val="16"/>
                <w:lang w:val="es-PR"/>
              </w:rPr>
              <w:t xml:space="preserve"> at </w:t>
            </w:r>
            <w:proofErr w:type="spellStart"/>
            <w:r w:rsidRPr="00CE2C28">
              <w:rPr>
                <w:sz w:val="16"/>
                <w:lang w:val="es-PR"/>
              </w:rPr>
              <w:t>least</w:t>
            </w:r>
            <w:proofErr w:type="spellEnd"/>
            <w:r w:rsidRPr="00CE2C28">
              <w:rPr>
                <w:sz w:val="16"/>
                <w:lang w:val="es-PR"/>
              </w:rPr>
              <w:t xml:space="preserve"> 2 of: </w:t>
            </w:r>
            <w:proofErr w:type="spellStart"/>
            <w:r w:rsidRPr="00CE2C28">
              <w:rPr>
                <w:sz w:val="16"/>
                <w:lang w:val="es-PR"/>
              </w:rPr>
              <w:t>relieved</w:t>
            </w:r>
            <w:proofErr w:type="spellEnd"/>
            <w:r w:rsidRPr="00CE2C28">
              <w:rPr>
                <w:sz w:val="16"/>
                <w:lang w:val="es-PR"/>
              </w:rPr>
              <w:t xml:space="preserve"> </w:t>
            </w:r>
            <w:proofErr w:type="spellStart"/>
            <w:r w:rsidRPr="00CE2C28">
              <w:rPr>
                <w:sz w:val="16"/>
                <w:lang w:val="es-PR"/>
              </w:rPr>
              <w:t>with</w:t>
            </w:r>
            <w:proofErr w:type="spellEnd"/>
            <w:r w:rsidRPr="00CE2C28">
              <w:rPr>
                <w:sz w:val="16"/>
                <w:lang w:val="es-PR"/>
              </w:rPr>
              <w:t xml:space="preserve"> </w:t>
            </w:r>
            <w:proofErr w:type="spellStart"/>
            <w:r w:rsidRPr="00CE2C28">
              <w:rPr>
                <w:sz w:val="16"/>
                <w:lang w:val="es-PR"/>
              </w:rPr>
              <w:t>defecation</w:t>
            </w:r>
            <w:proofErr w:type="spellEnd"/>
            <w:r w:rsidRPr="00CE2C28">
              <w:rPr>
                <w:sz w:val="16"/>
                <w:lang w:val="es-PR"/>
              </w:rPr>
              <w:t xml:space="preserve">, </w:t>
            </w:r>
            <w:proofErr w:type="spellStart"/>
            <w:r w:rsidRPr="00CE2C28">
              <w:rPr>
                <w:sz w:val="16"/>
                <w:lang w:val="es-PR"/>
              </w:rPr>
              <w:t>onset</w:t>
            </w:r>
            <w:proofErr w:type="spellEnd"/>
            <w:r w:rsidRPr="00CE2C28">
              <w:rPr>
                <w:sz w:val="16"/>
                <w:lang w:val="es-PR"/>
              </w:rPr>
              <w:t xml:space="preserve"> </w:t>
            </w:r>
            <w:proofErr w:type="spellStart"/>
            <w:r w:rsidRPr="00CE2C28">
              <w:rPr>
                <w:sz w:val="16"/>
                <w:lang w:val="es-PR"/>
              </w:rPr>
              <w:t>associated</w:t>
            </w:r>
            <w:proofErr w:type="spellEnd"/>
            <w:r w:rsidRPr="00CE2C28">
              <w:rPr>
                <w:sz w:val="16"/>
                <w:lang w:val="es-PR"/>
              </w:rPr>
              <w:t xml:space="preserve"> </w:t>
            </w:r>
            <w:proofErr w:type="spellStart"/>
            <w:r w:rsidRPr="00CE2C28">
              <w:rPr>
                <w:sz w:val="16"/>
                <w:lang w:val="es-PR"/>
              </w:rPr>
              <w:t>with</w:t>
            </w:r>
            <w:proofErr w:type="spellEnd"/>
            <w:r w:rsidRPr="00CE2C28">
              <w:rPr>
                <w:sz w:val="16"/>
                <w:lang w:val="es-PR"/>
              </w:rPr>
              <w:t xml:space="preserve"> </w:t>
            </w:r>
            <w:proofErr w:type="spellStart"/>
            <w:r w:rsidRPr="00CE2C28">
              <w:rPr>
                <w:sz w:val="16"/>
                <w:lang w:val="es-PR"/>
              </w:rPr>
              <w:t>change</w:t>
            </w:r>
            <w:proofErr w:type="spellEnd"/>
            <w:r w:rsidRPr="00CE2C28">
              <w:rPr>
                <w:sz w:val="16"/>
                <w:lang w:val="es-PR"/>
              </w:rPr>
              <w:t xml:space="preserve"> in </w:t>
            </w:r>
            <w:proofErr w:type="spellStart"/>
            <w:r w:rsidRPr="00CE2C28">
              <w:rPr>
                <w:sz w:val="16"/>
                <w:lang w:val="es-PR"/>
              </w:rPr>
              <w:t>stool</w:t>
            </w:r>
            <w:proofErr w:type="spellEnd"/>
            <w:r w:rsidRPr="00CE2C28">
              <w:rPr>
                <w:sz w:val="16"/>
                <w:lang w:val="es-PR"/>
              </w:rPr>
              <w:t xml:space="preserve"> </w:t>
            </w:r>
            <w:proofErr w:type="spellStart"/>
            <w:r w:rsidRPr="00CE2C28">
              <w:rPr>
                <w:sz w:val="16"/>
                <w:lang w:val="es-PR"/>
              </w:rPr>
              <w:t>frequency</w:t>
            </w:r>
            <w:proofErr w:type="spellEnd"/>
            <w:r w:rsidRPr="00CE2C28">
              <w:rPr>
                <w:sz w:val="16"/>
                <w:lang w:val="es-PR"/>
              </w:rPr>
              <w:t xml:space="preserve">, </w:t>
            </w:r>
            <w:proofErr w:type="spellStart"/>
            <w:r w:rsidRPr="00CE2C28">
              <w:rPr>
                <w:sz w:val="16"/>
                <w:lang w:val="es-PR"/>
              </w:rPr>
              <w:t>onset</w:t>
            </w:r>
            <w:proofErr w:type="spellEnd"/>
            <w:r w:rsidRPr="00CE2C28">
              <w:rPr>
                <w:sz w:val="16"/>
                <w:lang w:val="es-PR"/>
              </w:rPr>
              <w:t xml:space="preserve"> </w:t>
            </w:r>
            <w:proofErr w:type="spellStart"/>
            <w:r w:rsidRPr="00CE2C28">
              <w:rPr>
                <w:sz w:val="16"/>
                <w:lang w:val="es-PR"/>
              </w:rPr>
              <w:t>associated</w:t>
            </w:r>
            <w:proofErr w:type="spellEnd"/>
            <w:r w:rsidRPr="00CE2C28">
              <w:rPr>
                <w:sz w:val="16"/>
                <w:lang w:val="es-PR"/>
              </w:rPr>
              <w:t xml:space="preserve"> </w:t>
            </w:r>
            <w:proofErr w:type="spellStart"/>
            <w:r w:rsidRPr="00CE2C28">
              <w:rPr>
                <w:sz w:val="16"/>
                <w:lang w:val="es-PR"/>
              </w:rPr>
              <w:t>with</w:t>
            </w:r>
            <w:proofErr w:type="spellEnd"/>
            <w:r w:rsidRPr="00CE2C28">
              <w:rPr>
                <w:sz w:val="16"/>
                <w:lang w:val="es-PR"/>
              </w:rPr>
              <w:t xml:space="preserve"> </w:t>
            </w:r>
            <w:proofErr w:type="spellStart"/>
            <w:r w:rsidRPr="00CE2C28">
              <w:rPr>
                <w:sz w:val="16"/>
                <w:lang w:val="es-PR"/>
              </w:rPr>
              <w:t>change</w:t>
            </w:r>
            <w:proofErr w:type="spellEnd"/>
            <w:r w:rsidRPr="00CE2C28">
              <w:rPr>
                <w:sz w:val="16"/>
                <w:lang w:val="es-PR"/>
              </w:rPr>
              <w:t xml:space="preserve"> in </w:t>
            </w:r>
            <w:proofErr w:type="spellStart"/>
            <w:r w:rsidRPr="00CE2C28">
              <w:rPr>
                <w:sz w:val="16"/>
                <w:lang w:val="es-PR"/>
              </w:rPr>
              <w:t>form</w:t>
            </w:r>
            <w:proofErr w:type="spellEnd"/>
            <w:r w:rsidRPr="00CE2C28">
              <w:rPr>
                <w:sz w:val="16"/>
                <w:lang w:val="es-PR"/>
              </w:rPr>
              <w:t xml:space="preserve"> of </w:t>
            </w:r>
            <w:proofErr w:type="spellStart"/>
            <w:r w:rsidRPr="00CE2C28">
              <w:rPr>
                <w:sz w:val="16"/>
                <w:lang w:val="es-PR"/>
              </w:rPr>
              <w:t>stool</w:t>
            </w:r>
            <w:proofErr w:type="spellEnd"/>
            <w:r w:rsidRPr="00CE2C28">
              <w:rPr>
                <w:sz w:val="16"/>
                <w:lang w:val="es-PR"/>
              </w:rPr>
              <w:t xml:space="preserve">); in </w:t>
            </w:r>
            <w:proofErr w:type="spellStart"/>
            <w:r w:rsidRPr="00CE2C28">
              <w:rPr>
                <w:sz w:val="16"/>
                <w:lang w:val="es-PR"/>
              </w:rPr>
              <w:t>the</w:t>
            </w:r>
            <w:proofErr w:type="spellEnd"/>
            <w:r w:rsidRPr="00CE2C28">
              <w:rPr>
                <w:sz w:val="16"/>
                <w:lang w:val="es-PR"/>
              </w:rPr>
              <w:t xml:space="preserve"> </w:t>
            </w:r>
            <w:proofErr w:type="spellStart"/>
            <w:r w:rsidRPr="00CE2C28">
              <w:rPr>
                <w:sz w:val="16"/>
                <w:lang w:val="es-PR"/>
              </w:rPr>
              <w:t>last</w:t>
            </w:r>
            <w:proofErr w:type="spellEnd"/>
            <w:r w:rsidRPr="00CE2C28">
              <w:rPr>
                <w:sz w:val="16"/>
                <w:lang w:val="es-PR"/>
              </w:rPr>
              <w:t xml:space="preserve"> 12 </w:t>
            </w:r>
            <w:proofErr w:type="spellStart"/>
            <w:r w:rsidRPr="00CE2C28">
              <w:rPr>
                <w:sz w:val="16"/>
                <w:lang w:val="es-PR"/>
              </w:rPr>
              <w:t>months</w:t>
            </w:r>
            <w:proofErr w:type="spellEnd"/>
            <w:r w:rsidRPr="00CE2C28">
              <w:rPr>
                <w:sz w:val="16"/>
                <w:lang w:val="es-PR"/>
              </w:rPr>
              <w:t xml:space="preserve"> &lt; 3 </w:t>
            </w:r>
            <w:proofErr w:type="spellStart"/>
            <w:r w:rsidRPr="00CE2C28">
              <w:rPr>
                <w:sz w:val="16"/>
                <w:lang w:val="es-PR"/>
              </w:rPr>
              <w:t>spontaneous</w:t>
            </w:r>
            <w:proofErr w:type="spellEnd"/>
            <w:r w:rsidRPr="00CE2C28">
              <w:rPr>
                <w:sz w:val="16"/>
                <w:lang w:val="es-PR"/>
              </w:rPr>
              <w:t xml:space="preserve"> </w:t>
            </w:r>
            <w:proofErr w:type="spellStart"/>
            <w:r w:rsidRPr="00CE2C28">
              <w:rPr>
                <w:sz w:val="16"/>
                <w:lang w:val="es-PR"/>
              </w:rPr>
              <w:t>bowel</w:t>
            </w:r>
            <w:proofErr w:type="spellEnd"/>
            <w:r w:rsidRPr="00CE2C28">
              <w:rPr>
                <w:sz w:val="16"/>
                <w:lang w:val="es-PR"/>
              </w:rPr>
              <w:t xml:space="preserve"> </w:t>
            </w:r>
            <w:proofErr w:type="spellStart"/>
            <w:r w:rsidRPr="00CE2C28">
              <w:rPr>
                <w:sz w:val="16"/>
                <w:lang w:val="es-PR"/>
              </w:rPr>
              <w:t>movements</w:t>
            </w:r>
            <w:proofErr w:type="spellEnd"/>
            <w:r w:rsidRPr="00CE2C28">
              <w:rPr>
                <w:sz w:val="16"/>
                <w:lang w:val="es-PR"/>
              </w:rPr>
              <w:t xml:space="preserve"> (SBM) per </w:t>
            </w:r>
            <w:proofErr w:type="spellStart"/>
            <w:r w:rsidRPr="00CE2C28">
              <w:rPr>
                <w:sz w:val="16"/>
                <w:lang w:val="es-PR"/>
              </w:rPr>
              <w:t>week</w:t>
            </w:r>
            <w:proofErr w:type="spellEnd"/>
            <w:r w:rsidRPr="00CE2C28">
              <w:rPr>
                <w:sz w:val="16"/>
                <w:lang w:val="es-PR"/>
              </w:rPr>
              <w:t xml:space="preserve"> and at </w:t>
            </w:r>
            <w:proofErr w:type="spellStart"/>
            <w:r w:rsidRPr="00CE2C28">
              <w:rPr>
                <w:sz w:val="16"/>
                <w:lang w:val="es-PR"/>
              </w:rPr>
              <w:t>least</w:t>
            </w:r>
            <w:proofErr w:type="spellEnd"/>
            <w:r w:rsidRPr="00CE2C28">
              <w:rPr>
                <w:sz w:val="16"/>
                <w:lang w:val="es-PR"/>
              </w:rPr>
              <w:t xml:space="preserve"> 1 </w:t>
            </w:r>
            <w:proofErr w:type="spellStart"/>
            <w:r w:rsidRPr="00CE2C28">
              <w:rPr>
                <w:sz w:val="16"/>
                <w:lang w:val="es-PR"/>
              </w:rPr>
              <w:t>other</w:t>
            </w:r>
            <w:proofErr w:type="spellEnd"/>
            <w:r w:rsidRPr="00CE2C28">
              <w:rPr>
                <w:sz w:val="16"/>
                <w:lang w:val="es-PR"/>
              </w:rPr>
              <w:t xml:space="preserve"> </w:t>
            </w:r>
            <w:proofErr w:type="spellStart"/>
            <w:r w:rsidRPr="00CE2C28">
              <w:rPr>
                <w:sz w:val="16"/>
                <w:lang w:val="es-PR"/>
              </w:rPr>
              <w:t>bowel</w:t>
            </w:r>
            <w:proofErr w:type="spellEnd"/>
            <w:r w:rsidRPr="00CE2C28">
              <w:rPr>
                <w:sz w:val="16"/>
                <w:lang w:val="es-PR"/>
              </w:rPr>
              <w:t xml:space="preserve"> </w:t>
            </w:r>
            <w:proofErr w:type="spellStart"/>
            <w:r w:rsidRPr="00CE2C28">
              <w:rPr>
                <w:sz w:val="16"/>
                <w:lang w:val="es-PR"/>
              </w:rPr>
              <w:t>symptom</w:t>
            </w:r>
            <w:proofErr w:type="spellEnd"/>
            <w:r w:rsidRPr="00CE2C28">
              <w:rPr>
                <w:sz w:val="16"/>
                <w:lang w:val="es-PR"/>
              </w:rPr>
              <w:t xml:space="preserve"> (</w:t>
            </w:r>
            <w:proofErr w:type="spellStart"/>
            <w:r w:rsidRPr="00CE2C28">
              <w:rPr>
                <w:sz w:val="16"/>
                <w:lang w:val="es-PR"/>
              </w:rPr>
              <w:t>straining</w:t>
            </w:r>
            <w:proofErr w:type="spellEnd"/>
            <w:r w:rsidRPr="00CE2C28">
              <w:rPr>
                <w:sz w:val="16"/>
                <w:lang w:val="es-PR"/>
              </w:rPr>
              <w:t xml:space="preserve">, </w:t>
            </w:r>
            <w:proofErr w:type="spellStart"/>
            <w:r w:rsidRPr="00CE2C28">
              <w:rPr>
                <w:sz w:val="16"/>
                <w:lang w:val="es-PR"/>
              </w:rPr>
              <w:t>lumpy</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hard</w:t>
            </w:r>
            <w:proofErr w:type="spellEnd"/>
            <w:r w:rsidRPr="00CE2C28">
              <w:rPr>
                <w:sz w:val="16"/>
                <w:lang w:val="es-PR"/>
              </w:rPr>
              <w:t xml:space="preserve"> </w:t>
            </w:r>
            <w:proofErr w:type="spellStart"/>
            <w:r w:rsidRPr="00CE2C28">
              <w:rPr>
                <w:sz w:val="16"/>
                <w:lang w:val="es-PR"/>
              </w:rPr>
              <w:t>stools</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sensation</w:t>
            </w:r>
            <w:proofErr w:type="spellEnd"/>
            <w:r w:rsidRPr="00CE2C28">
              <w:rPr>
                <w:sz w:val="16"/>
                <w:lang w:val="es-PR"/>
              </w:rPr>
              <w:t xml:space="preserve"> of </w:t>
            </w:r>
            <w:proofErr w:type="spellStart"/>
            <w:r w:rsidRPr="00CE2C28">
              <w:rPr>
                <w:sz w:val="16"/>
                <w:lang w:val="es-PR"/>
              </w:rPr>
              <w:t>incomplete</w:t>
            </w:r>
            <w:proofErr w:type="spellEnd"/>
            <w:r w:rsidRPr="00CE2C28">
              <w:rPr>
                <w:sz w:val="16"/>
                <w:lang w:val="es-PR"/>
              </w:rPr>
              <w:t xml:space="preserve"> </w:t>
            </w:r>
            <w:proofErr w:type="spellStart"/>
            <w:r w:rsidRPr="00CE2C28">
              <w:rPr>
                <w:sz w:val="16"/>
                <w:lang w:val="es-PR"/>
              </w:rPr>
              <w:t>evacuation</w:t>
            </w:r>
            <w:proofErr w:type="spellEnd"/>
            <w:r w:rsidRPr="00CE2C28">
              <w:rPr>
                <w:sz w:val="16"/>
                <w:lang w:val="es-PR"/>
              </w:rPr>
              <w:t xml:space="preserve">) </w:t>
            </w:r>
            <w:proofErr w:type="spellStart"/>
            <w:r w:rsidRPr="00CE2C28">
              <w:rPr>
                <w:sz w:val="16"/>
                <w:lang w:val="es-PR"/>
              </w:rPr>
              <w:t>during</w:t>
            </w:r>
            <w:proofErr w:type="spellEnd"/>
            <w:r w:rsidRPr="00CE2C28">
              <w:rPr>
                <w:sz w:val="16"/>
                <w:lang w:val="es-PR"/>
              </w:rPr>
              <w:t xml:space="preserve"> &gt; 25% of </w:t>
            </w:r>
            <w:proofErr w:type="spellStart"/>
            <w:r w:rsidRPr="00CE2C28">
              <w:rPr>
                <w:sz w:val="16"/>
                <w:lang w:val="es-PR"/>
              </w:rPr>
              <w:t>BMs</w:t>
            </w:r>
            <w:proofErr w:type="spellEnd"/>
            <w:r w:rsidRPr="00CE2C28">
              <w:rPr>
                <w:sz w:val="16"/>
                <w:lang w:val="es-PR"/>
              </w:rPr>
              <w:t xml:space="preserve">; </w:t>
            </w:r>
            <w:proofErr w:type="spellStart"/>
            <w:r w:rsidRPr="00CE2C28">
              <w:rPr>
                <w:sz w:val="16"/>
                <w:lang w:val="es-PR"/>
              </w:rPr>
              <w:t>average</w:t>
            </w:r>
            <w:proofErr w:type="spellEnd"/>
            <w:r w:rsidRPr="00CE2C28">
              <w:rPr>
                <w:sz w:val="16"/>
                <w:lang w:val="es-PR"/>
              </w:rPr>
              <w:t xml:space="preserve"> abdominal </w:t>
            </w:r>
            <w:proofErr w:type="spellStart"/>
            <w:r w:rsidRPr="00CE2C28">
              <w:rPr>
                <w:sz w:val="16"/>
                <w:lang w:val="es-PR"/>
              </w:rPr>
              <w:t>pain</w:t>
            </w:r>
            <w:proofErr w:type="spellEnd"/>
            <w:r w:rsidRPr="00CE2C28">
              <w:rPr>
                <w:sz w:val="16"/>
                <w:lang w:val="es-PR"/>
              </w:rPr>
              <w:t xml:space="preserve"> of at </w:t>
            </w:r>
            <w:proofErr w:type="spellStart"/>
            <w:r w:rsidRPr="00CE2C28">
              <w:rPr>
                <w:sz w:val="16"/>
                <w:lang w:val="es-PR"/>
              </w:rPr>
              <w:t>least</w:t>
            </w:r>
            <w:proofErr w:type="spellEnd"/>
            <w:r w:rsidRPr="00CE2C28">
              <w:rPr>
                <w:sz w:val="16"/>
                <w:lang w:val="es-PR"/>
              </w:rPr>
              <w:t xml:space="preserve"> 3, </w:t>
            </w:r>
            <w:proofErr w:type="spellStart"/>
            <w:r w:rsidRPr="00CE2C28">
              <w:rPr>
                <w:sz w:val="16"/>
                <w:lang w:val="es-PR"/>
              </w:rPr>
              <w:t>average</w:t>
            </w:r>
            <w:proofErr w:type="spellEnd"/>
            <w:r w:rsidRPr="00CE2C28">
              <w:rPr>
                <w:sz w:val="16"/>
                <w:lang w:val="es-PR"/>
              </w:rPr>
              <w:t xml:space="preserve"> &lt; 3 complete </w:t>
            </w:r>
            <w:proofErr w:type="spellStart"/>
            <w:r w:rsidRPr="00CE2C28">
              <w:rPr>
                <w:sz w:val="16"/>
                <w:lang w:val="es-PR"/>
              </w:rPr>
              <w:t>SBMs</w:t>
            </w:r>
            <w:proofErr w:type="spellEnd"/>
            <w:r w:rsidRPr="00CE2C28">
              <w:rPr>
                <w:sz w:val="16"/>
                <w:lang w:val="es-PR"/>
              </w:rPr>
              <w:t xml:space="preserve"> per </w:t>
            </w:r>
            <w:proofErr w:type="spellStart"/>
            <w:r w:rsidRPr="00CE2C28">
              <w:rPr>
                <w:sz w:val="16"/>
                <w:lang w:val="es-PR"/>
              </w:rPr>
              <w:t>week</w:t>
            </w:r>
            <w:proofErr w:type="spellEnd"/>
            <w:r w:rsidRPr="00CE2C28">
              <w:rPr>
                <w:sz w:val="16"/>
                <w:lang w:val="es-PR"/>
              </w:rPr>
              <w:t xml:space="preserve">, and </w:t>
            </w:r>
            <w:proofErr w:type="spellStart"/>
            <w:r w:rsidRPr="00CE2C28">
              <w:rPr>
                <w:sz w:val="16"/>
                <w:lang w:val="es-PR"/>
              </w:rPr>
              <w:t>average</w:t>
            </w:r>
            <w:proofErr w:type="spellEnd"/>
            <w:r w:rsidRPr="00CE2C28">
              <w:rPr>
                <w:sz w:val="16"/>
                <w:lang w:val="es-PR"/>
              </w:rPr>
              <w:t xml:space="preserve"> 5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less</w:t>
            </w:r>
            <w:proofErr w:type="spellEnd"/>
            <w:r w:rsidRPr="00CE2C28">
              <w:rPr>
                <w:sz w:val="16"/>
                <w:lang w:val="es-PR"/>
              </w:rPr>
              <w:t xml:space="preserve"> </w:t>
            </w:r>
            <w:proofErr w:type="spellStart"/>
            <w:r w:rsidRPr="00CE2C28">
              <w:rPr>
                <w:sz w:val="16"/>
                <w:lang w:val="es-PR"/>
              </w:rPr>
              <w:t>SBMs</w:t>
            </w:r>
            <w:proofErr w:type="spellEnd"/>
            <w:r w:rsidRPr="00CE2C28">
              <w:rPr>
                <w:sz w:val="16"/>
                <w:lang w:val="es-PR"/>
              </w:rPr>
              <w:t xml:space="preserve"> per </w:t>
            </w:r>
            <w:proofErr w:type="spellStart"/>
            <w:r w:rsidRPr="00CE2C28">
              <w:rPr>
                <w:sz w:val="16"/>
                <w:lang w:val="es-PR"/>
              </w:rPr>
              <w:t>week</w:t>
            </w:r>
            <w:proofErr w:type="spellEnd"/>
            <w:r w:rsidRPr="00CE2C28">
              <w:rPr>
                <w:sz w:val="16"/>
                <w:lang w:val="es-PR"/>
              </w:rPr>
              <w:t xml:space="preserve"> </w:t>
            </w:r>
            <w:proofErr w:type="spellStart"/>
            <w:r w:rsidRPr="00CE2C28">
              <w:rPr>
                <w:sz w:val="16"/>
                <w:lang w:val="es-PR"/>
              </w:rPr>
              <w:t>during</w:t>
            </w:r>
            <w:proofErr w:type="spellEnd"/>
            <w:r w:rsidRPr="00CE2C28">
              <w:rPr>
                <w:sz w:val="16"/>
                <w:lang w:val="es-PR"/>
              </w:rPr>
              <w:t xml:space="preserve"> </w:t>
            </w:r>
            <w:proofErr w:type="spellStart"/>
            <w:r w:rsidRPr="00CE2C28">
              <w:rPr>
                <w:sz w:val="16"/>
                <w:lang w:val="es-PR"/>
              </w:rPr>
              <w:t>baseline</w:t>
            </w:r>
            <w:proofErr w:type="spellEnd"/>
            <w:r w:rsidRPr="00CE2C28">
              <w:rPr>
                <w:sz w:val="16"/>
                <w:lang w:val="es-PR"/>
              </w:rPr>
              <w:t xml:space="preserve"> </w:t>
            </w:r>
            <w:proofErr w:type="spellStart"/>
            <w:r w:rsidRPr="00CE2C28">
              <w:rPr>
                <w:sz w:val="16"/>
                <w:lang w:val="es-PR"/>
              </w:rPr>
              <w:t>period</w:t>
            </w:r>
            <w:proofErr w:type="spellEnd"/>
            <w:r w:rsidRPr="00CE2C28">
              <w:rPr>
                <w:sz w:val="16"/>
                <w:lang w:val="es-PR"/>
              </w:rPr>
              <w:t>.</w:t>
            </w:r>
          </w:p>
          <w:p w:rsidR="00FF7E38" w:rsidRPr="00CE2C28" w:rsidRDefault="00FF7E38" w:rsidP="002D0FE9">
            <w:pPr>
              <w:pStyle w:val="Table"/>
              <w:rPr>
                <w:sz w:val="16"/>
                <w:lang w:val="es-PR"/>
              </w:rPr>
            </w:pPr>
          </w:p>
          <w:p w:rsidR="00FF7E38" w:rsidRPr="00CE2C28" w:rsidRDefault="00FF7E38" w:rsidP="002D0FE9">
            <w:pPr>
              <w:pStyle w:val="Table"/>
              <w:rPr>
                <w:sz w:val="16"/>
                <w:lang w:val="es-PR"/>
              </w:rPr>
            </w:pPr>
            <w:proofErr w:type="spellStart"/>
            <w:r w:rsidRPr="00CE2C28">
              <w:rPr>
                <w:sz w:val="16"/>
                <w:lang w:val="es-PR"/>
              </w:rPr>
              <w:t>Exclusion</w:t>
            </w:r>
            <w:proofErr w:type="spellEnd"/>
            <w:r w:rsidRPr="00CE2C28">
              <w:rPr>
                <w:sz w:val="16"/>
                <w:lang w:val="es-PR"/>
              </w:rPr>
              <w:t xml:space="preserve"> </w:t>
            </w:r>
            <w:proofErr w:type="spellStart"/>
            <w:r w:rsidRPr="00CE2C28">
              <w:rPr>
                <w:sz w:val="16"/>
                <w:lang w:val="es-PR"/>
              </w:rPr>
              <w:t>criteria</w:t>
            </w:r>
            <w:proofErr w:type="spellEnd"/>
            <w:r w:rsidRPr="00CE2C28">
              <w:rPr>
                <w:sz w:val="16"/>
                <w:lang w:val="es-PR"/>
              </w:rPr>
              <w:t>:</w:t>
            </w:r>
          </w:p>
          <w:p w:rsidR="00FF7E38" w:rsidRPr="00CE2C28" w:rsidRDefault="00FF7E38" w:rsidP="002D0FE9">
            <w:pPr>
              <w:pStyle w:val="Table"/>
              <w:rPr>
                <w:sz w:val="16"/>
                <w:lang w:val="es-PR"/>
              </w:rPr>
            </w:pPr>
            <w:proofErr w:type="spellStart"/>
            <w:r w:rsidRPr="00CE2C28">
              <w:rPr>
                <w:sz w:val="16"/>
                <w:lang w:val="es-PR"/>
              </w:rPr>
              <w:t>Loose</w:t>
            </w:r>
            <w:proofErr w:type="spellEnd"/>
            <w:r w:rsidRPr="00CE2C28">
              <w:rPr>
                <w:sz w:val="16"/>
                <w:lang w:val="es-PR"/>
              </w:rPr>
              <w:t xml:space="preserve">, </w:t>
            </w:r>
            <w:proofErr w:type="spellStart"/>
            <w:r w:rsidRPr="00CE2C28">
              <w:rPr>
                <w:sz w:val="16"/>
                <w:lang w:val="es-PR"/>
              </w:rPr>
              <w:t>mushy</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watery</w:t>
            </w:r>
            <w:proofErr w:type="spellEnd"/>
            <w:r w:rsidRPr="00CE2C28">
              <w:rPr>
                <w:sz w:val="16"/>
                <w:lang w:val="es-PR"/>
              </w:rPr>
              <w:t xml:space="preserve"> </w:t>
            </w:r>
            <w:proofErr w:type="spellStart"/>
            <w:r w:rsidRPr="00CE2C28">
              <w:rPr>
                <w:sz w:val="16"/>
                <w:lang w:val="es-PR"/>
              </w:rPr>
              <w:t>stools</w:t>
            </w:r>
            <w:proofErr w:type="spellEnd"/>
            <w:r w:rsidRPr="00CE2C28">
              <w:rPr>
                <w:sz w:val="16"/>
                <w:lang w:val="es-PR"/>
              </w:rPr>
              <w:t xml:space="preserve"> </w:t>
            </w:r>
            <w:proofErr w:type="spellStart"/>
            <w:r w:rsidRPr="00CE2C28">
              <w:rPr>
                <w:sz w:val="16"/>
                <w:lang w:val="es-PR"/>
              </w:rPr>
              <w:t>for</w:t>
            </w:r>
            <w:proofErr w:type="spellEnd"/>
            <w:r w:rsidRPr="00CE2C28">
              <w:rPr>
                <w:sz w:val="16"/>
                <w:lang w:val="es-PR"/>
              </w:rPr>
              <w:t xml:space="preserve"> &gt; 25% </w:t>
            </w:r>
            <w:proofErr w:type="spellStart"/>
            <w:r w:rsidRPr="00CE2C28">
              <w:rPr>
                <w:sz w:val="16"/>
                <w:lang w:val="es-PR"/>
              </w:rPr>
              <w:t>BMs</w:t>
            </w:r>
            <w:proofErr w:type="spellEnd"/>
            <w:r w:rsidRPr="00CE2C28">
              <w:rPr>
                <w:sz w:val="16"/>
                <w:lang w:val="es-PR"/>
              </w:rPr>
              <w:t xml:space="preserve"> in 12 </w:t>
            </w:r>
            <w:proofErr w:type="spellStart"/>
            <w:r w:rsidRPr="00CE2C28">
              <w:rPr>
                <w:sz w:val="16"/>
                <w:lang w:val="es-PR"/>
              </w:rPr>
              <w:t>weeks</w:t>
            </w:r>
            <w:proofErr w:type="spellEnd"/>
            <w:r w:rsidRPr="00CE2C28">
              <w:rPr>
                <w:sz w:val="16"/>
                <w:lang w:val="es-PR"/>
              </w:rPr>
              <w:t xml:space="preserve"> </w:t>
            </w:r>
            <w:proofErr w:type="spellStart"/>
            <w:r w:rsidRPr="00CE2C28">
              <w:rPr>
                <w:sz w:val="16"/>
                <w:lang w:val="es-PR"/>
              </w:rPr>
              <w:t>before</w:t>
            </w:r>
            <w:proofErr w:type="spellEnd"/>
            <w:r w:rsidRPr="00CE2C28">
              <w:rPr>
                <w:sz w:val="16"/>
                <w:lang w:val="es-PR"/>
              </w:rPr>
              <w:t xml:space="preserve"> </w:t>
            </w:r>
            <w:proofErr w:type="spellStart"/>
            <w:r w:rsidRPr="00CE2C28">
              <w:rPr>
                <w:sz w:val="16"/>
                <w:lang w:val="es-PR"/>
              </w:rPr>
              <w:t>screening</w:t>
            </w:r>
            <w:proofErr w:type="spellEnd"/>
            <w:r w:rsidRPr="00CE2C28">
              <w:rPr>
                <w:sz w:val="16"/>
                <w:lang w:val="es-PR"/>
              </w:rPr>
              <w:t xml:space="preserve">, BSFS score of 7 </w:t>
            </w:r>
            <w:proofErr w:type="spellStart"/>
            <w:r w:rsidRPr="00CE2C28">
              <w:rPr>
                <w:sz w:val="16"/>
                <w:lang w:val="es-PR"/>
              </w:rPr>
              <w:t>for</w:t>
            </w:r>
            <w:proofErr w:type="spellEnd"/>
            <w:r w:rsidRPr="00CE2C28">
              <w:rPr>
                <w:sz w:val="16"/>
                <w:lang w:val="es-PR"/>
              </w:rPr>
              <w:t xml:space="preserve"> </w:t>
            </w:r>
            <w:proofErr w:type="spellStart"/>
            <w:r w:rsidRPr="00CE2C28">
              <w:rPr>
                <w:sz w:val="16"/>
                <w:lang w:val="es-PR"/>
              </w:rPr>
              <w:t>any</w:t>
            </w:r>
            <w:proofErr w:type="spellEnd"/>
            <w:r w:rsidRPr="00CE2C28">
              <w:rPr>
                <w:sz w:val="16"/>
                <w:lang w:val="es-PR"/>
              </w:rPr>
              <w:t xml:space="preserve"> SBM </w:t>
            </w:r>
            <w:proofErr w:type="spellStart"/>
            <w:r w:rsidRPr="00CE2C28">
              <w:rPr>
                <w:sz w:val="16"/>
                <w:lang w:val="es-PR"/>
              </w:rPr>
              <w:t>or</w:t>
            </w:r>
            <w:proofErr w:type="spellEnd"/>
            <w:r w:rsidRPr="00CE2C28">
              <w:rPr>
                <w:sz w:val="16"/>
                <w:lang w:val="es-PR"/>
              </w:rPr>
              <w:t xml:space="preserve"> 6 </w:t>
            </w:r>
            <w:proofErr w:type="spellStart"/>
            <w:r w:rsidRPr="00CE2C28">
              <w:rPr>
                <w:sz w:val="16"/>
                <w:lang w:val="es-PR"/>
              </w:rPr>
              <w:t>for</w:t>
            </w:r>
            <w:proofErr w:type="spellEnd"/>
            <w:r w:rsidRPr="00CE2C28">
              <w:rPr>
                <w:sz w:val="16"/>
                <w:lang w:val="es-PR"/>
              </w:rPr>
              <w:t xml:space="preserve"> &gt; 1 SBM </w:t>
            </w:r>
            <w:proofErr w:type="spellStart"/>
            <w:r w:rsidRPr="00CE2C28">
              <w:rPr>
                <w:sz w:val="16"/>
                <w:lang w:val="es-PR"/>
              </w:rPr>
              <w:t>during</w:t>
            </w:r>
            <w:proofErr w:type="spellEnd"/>
            <w:r w:rsidRPr="00CE2C28">
              <w:rPr>
                <w:sz w:val="16"/>
                <w:lang w:val="es-PR"/>
              </w:rPr>
              <w:t xml:space="preserve"> </w:t>
            </w:r>
            <w:proofErr w:type="spellStart"/>
            <w:r w:rsidRPr="00CE2C28">
              <w:rPr>
                <w:sz w:val="16"/>
                <w:lang w:val="es-PR"/>
              </w:rPr>
              <w:t>baseline</w:t>
            </w:r>
            <w:proofErr w:type="spellEnd"/>
            <w:r w:rsidRPr="00CE2C28">
              <w:rPr>
                <w:sz w:val="16"/>
                <w:lang w:val="es-PR"/>
              </w:rPr>
              <w:t xml:space="preserve"> </w:t>
            </w:r>
            <w:proofErr w:type="spellStart"/>
            <w:r w:rsidRPr="00CE2C28">
              <w:rPr>
                <w:sz w:val="16"/>
                <w:lang w:val="es-PR"/>
              </w:rPr>
              <w:t>period</w:t>
            </w:r>
            <w:proofErr w:type="spellEnd"/>
            <w:r w:rsidRPr="00CE2C28">
              <w:rPr>
                <w:sz w:val="16"/>
                <w:lang w:val="es-PR"/>
              </w:rPr>
              <w:t xml:space="preserve">, </w:t>
            </w:r>
            <w:proofErr w:type="spellStart"/>
            <w:r w:rsidRPr="00CE2C28">
              <w:rPr>
                <w:sz w:val="16"/>
                <w:lang w:val="es-PR"/>
              </w:rPr>
              <w:t>history</w:t>
            </w:r>
            <w:proofErr w:type="spellEnd"/>
            <w:r w:rsidRPr="00CE2C28">
              <w:rPr>
                <w:sz w:val="16"/>
                <w:lang w:val="es-PR"/>
              </w:rPr>
              <w:t xml:space="preserve"> of </w:t>
            </w:r>
            <w:proofErr w:type="spellStart"/>
            <w:r w:rsidRPr="00CE2C28">
              <w:rPr>
                <w:sz w:val="16"/>
                <w:lang w:val="es-PR"/>
              </w:rPr>
              <w:t>cathartic</w:t>
            </w:r>
            <w:proofErr w:type="spellEnd"/>
            <w:r w:rsidRPr="00CE2C28">
              <w:rPr>
                <w:sz w:val="16"/>
                <w:lang w:val="es-PR"/>
              </w:rPr>
              <w:t xml:space="preserve"> colon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laxative</w:t>
            </w:r>
            <w:proofErr w:type="spellEnd"/>
            <w:r w:rsidRPr="00CE2C28">
              <w:rPr>
                <w:sz w:val="16"/>
                <w:lang w:val="es-PR"/>
              </w:rPr>
              <w:t xml:space="preserve"> abuse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ischemic</w:t>
            </w:r>
            <w:proofErr w:type="spellEnd"/>
            <w:r w:rsidRPr="00CE2C28">
              <w:rPr>
                <w:sz w:val="16"/>
                <w:lang w:val="es-PR"/>
              </w:rPr>
              <w:t xml:space="preserve"> colitis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pelvic</w:t>
            </w:r>
            <w:proofErr w:type="spellEnd"/>
            <w:r w:rsidRPr="00CE2C28">
              <w:rPr>
                <w:sz w:val="16"/>
                <w:lang w:val="es-PR"/>
              </w:rPr>
              <w:t xml:space="preserve"> </w:t>
            </w:r>
            <w:proofErr w:type="spellStart"/>
            <w:r w:rsidRPr="00CE2C28">
              <w:rPr>
                <w:sz w:val="16"/>
                <w:lang w:val="es-PR"/>
              </w:rPr>
              <w:t>floor</w:t>
            </w:r>
            <w:proofErr w:type="spellEnd"/>
            <w:r w:rsidRPr="00CE2C28">
              <w:rPr>
                <w:sz w:val="16"/>
                <w:lang w:val="es-PR"/>
              </w:rPr>
              <w:t xml:space="preserve"> </w:t>
            </w:r>
            <w:proofErr w:type="spellStart"/>
            <w:r w:rsidRPr="00CE2C28">
              <w:rPr>
                <w:sz w:val="16"/>
                <w:lang w:val="es-PR"/>
              </w:rPr>
              <w:t>dysfunction</w:t>
            </w:r>
            <w:proofErr w:type="spellEnd"/>
            <w:r w:rsidRPr="00CE2C28">
              <w:rPr>
                <w:sz w:val="16"/>
                <w:lang w:val="es-PR"/>
              </w:rPr>
              <w:t xml:space="preserve">, </w:t>
            </w:r>
            <w:proofErr w:type="spellStart"/>
            <w:r w:rsidRPr="00CE2C28">
              <w:rPr>
                <w:sz w:val="16"/>
                <w:lang w:val="es-PR"/>
              </w:rPr>
              <w:t>history</w:t>
            </w:r>
            <w:proofErr w:type="spellEnd"/>
            <w:r w:rsidRPr="00CE2C28">
              <w:rPr>
                <w:sz w:val="16"/>
                <w:lang w:val="es-PR"/>
              </w:rPr>
              <w:t xml:space="preserve"> of </w:t>
            </w:r>
            <w:proofErr w:type="spellStart"/>
            <w:r w:rsidRPr="00CE2C28">
              <w:rPr>
                <w:sz w:val="16"/>
                <w:lang w:val="es-PR"/>
              </w:rPr>
              <w:t>bariatric</w:t>
            </w:r>
            <w:proofErr w:type="spellEnd"/>
            <w:r w:rsidRPr="00CE2C28">
              <w:rPr>
                <w:sz w:val="16"/>
                <w:lang w:val="es-PR"/>
              </w:rPr>
              <w:t xml:space="preserve"> </w:t>
            </w:r>
            <w:proofErr w:type="spellStart"/>
            <w:r w:rsidRPr="00CE2C28">
              <w:rPr>
                <w:sz w:val="16"/>
                <w:lang w:val="es-PR"/>
              </w:rPr>
              <w:t>surgery</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surgical</w:t>
            </w:r>
            <w:proofErr w:type="spellEnd"/>
            <w:r w:rsidRPr="00CE2C28">
              <w:rPr>
                <w:sz w:val="16"/>
                <w:lang w:val="es-PR"/>
              </w:rPr>
              <w:t xml:space="preserve"> </w:t>
            </w:r>
            <w:proofErr w:type="spellStart"/>
            <w:r w:rsidRPr="00CE2C28">
              <w:rPr>
                <w:sz w:val="16"/>
                <w:lang w:val="es-PR"/>
              </w:rPr>
              <w:t>removal</w:t>
            </w:r>
            <w:proofErr w:type="spellEnd"/>
            <w:r w:rsidRPr="00CE2C28">
              <w:rPr>
                <w:sz w:val="16"/>
                <w:lang w:val="es-PR"/>
              </w:rPr>
              <w:t xml:space="preserve"> of a </w:t>
            </w:r>
            <w:proofErr w:type="spellStart"/>
            <w:r w:rsidRPr="00CE2C28">
              <w:rPr>
                <w:sz w:val="16"/>
                <w:lang w:val="es-PR"/>
              </w:rPr>
              <w:t>segment</w:t>
            </w:r>
            <w:proofErr w:type="spellEnd"/>
            <w:r w:rsidRPr="00CE2C28">
              <w:rPr>
                <w:sz w:val="16"/>
                <w:lang w:val="es-PR"/>
              </w:rPr>
              <w:t xml:space="preserve"> of </w:t>
            </w:r>
            <w:proofErr w:type="spellStart"/>
            <w:r w:rsidRPr="00CE2C28">
              <w:rPr>
                <w:sz w:val="16"/>
                <w:lang w:val="es-PR"/>
              </w:rPr>
              <w:t>the</w:t>
            </w:r>
            <w:proofErr w:type="spellEnd"/>
            <w:r w:rsidRPr="00CE2C28">
              <w:rPr>
                <w:sz w:val="16"/>
                <w:lang w:val="es-PR"/>
              </w:rPr>
              <w:t xml:space="preserve"> GI </w:t>
            </w:r>
            <w:proofErr w:type="spellStart"/>
            <w:r w:rsidRPr="00CE2C28">
              <w:rPr>
                <w:sz w:val="16"/>
                <w:lang w:val="es-PR"/>
              </w:rPr>
              <w:t>tract</w:t>
            </w:r>
            <w:proofErr w:type="spellEnd"/>
            <w:r w:rsidRPr="00CE2C28">
              <w:rPr>
                <w:sz w:val="16"/>
                <w:lang w:val="es-PR"/>
              </w:rPr>
              <w:t xml:space="preserve">, </w:t>
            </w:r>
            <w:proofErr w:type="spellStart"/>
            <w:r w:rsidRPr="00CE2C28">
              <w:rPr>
                <w:sz w:val="16"/>
                <w:lang w:val="es-PR"/>
              </w:rPr>
              <w:t>surgery</w:t>
            </w:r>
            <w:proofErr w:type="spellEnd"/>
            <w:r w:rsidRPr="00CE2C28">
              <w:rPr>
                <w:sz w:val="16"/>
                <w:lang w:val="es-PR"/>
              </w:rPr>
              <w:t xml:space="preserve"> of </w:t>
            </w:r>
            <w:proofErr w:type="spellStart"/>
            <w:r w:rsidRPr="00CE2C28">
              <w:rPr>
                <w:sz w:val="16"/>
                <w:lang w:val="es-PR"/>
              </w:rPr>
              <w:t>the</w:t>
            </w:r>
            <w:proofErr w:type="spellEnd"/>
            <w:r w:rsidRPr="00CE2C28">
              <w:rPr>
                <w:sz w:val="16"/>
                <w:lang w:val="es-PR"/>
              </w:rPr>
              <w:t xml:space="preserve"> abdomen </w:t>
            </w:r>
            <w:proofErr w:type="spellStart"/>
            <w:r w:rsidRPr="00CE2C28">
              <w:rPr>
                <w:sz w:val="16"/>
                <w:lang w:val="es-PR"/>
              </w:rPr>
              <w:t>or</w:t>
            </w:r>
            <w:proofErr w:type="spellEnd"/>
            <w:r w:rsidRPr="00CE2C28">
              <w:rPr>
                <w:sz w:val="16"/>
                <w:lang w:val="es-PR"/>
              </w:rPr>
              <w:t xml:space="preserve"> pelvis </w:t>
            </w:r>
            <w:proofErr w:type="spellStart"/>
            <w:r w:rsidRPr="00CE2C28">
              <w:rPr>
                <w:sz w:val="16"/>
                <w:lang w:val="es-PR"/>
              </w:rPr>
              <w:t>or</w:t>
            </w:r>
            <w:proofErr w:type="spellEnd"/>
            <w:r w:rsidRPr="00CE2C28">
              <w:rPr>
                <w:sz w:val="16"/>
                <w:lang w:val="es-PR"/>
              </w:rPr>
              <w:t xml:space="preserve"> retroperitoneal </w:t>
            </w:r>
            <w:proofErr w:type="spellStart"/>
            <w:r w:rsidRPr="00CE2C28">
              <w:rPr>
                <w:sz w:val="16"/>
                <w:lang w:val="es-PR"/>
              </w:rPr>
              <w:t>structures</w:t>
            </w:r>
            <w:proofErr w:type="spellEnd"/>
            <w:r w:rsidRPr="00CE2C28">
              <w:rPr>
                <w:sz w:val="16"/>
                <w:lang w:val="es-PR"/>
              </w:rPr>
              <w:t xml:space="preserve"> in </w:t>
            </w:r>
            <w:proofErr w:type="spellStart"/>
            <w:r w:rsidRPr="00CE2C28">
              <w:rPr>
                <w:sz w:val="16"/>
                <w:lang w:val="es-PR"/>
              </w:rPr>
              <w:t>the</w:t>
            </w:r>
            <w:proofErr w:type="spellEnd"/>
            <w:r w:rsidRPr="00CE2C28">
              <w:rPr>
                <w:sz w:val="16"/>
                <w:lang w:val="es-PR"/>
              </w:rPr>
              <w:t xml:space="preserve"> </w:t>
            </w:r>
            <w:proofErr w:type="spellStart"/>
            <w:r w:rsidRPr="00CE2C28">
              <w:rPr>
                <w:sz w:val="16"/>
                <w:lang w:val="es-PR"/>
              </w:rPr>
              <w:t>last</w:t>
            </w:r>
            <w:proofErr w:type="spellEnd"/>
            <w:r w:rsidRPr="00CE2C28">
              <w:rPr>
                <w:sz w:val="16"/>
                <w:lang w:val="es-PR"/>
              </w:rPr>
              <w:t xml:space="preserve"> 6 </w:t>
            </w:r>
            <w:proofErr w:type="spellStart"/>
            <w:r w:rsidRPr="00CE2C28">
              <w:rPr>
                <w:sz w:val="16"/>
                <w:lang w:val="es-PR"/>
              </w:rPr>
              <w:t>months</w:t>
            </w:r>
            <w:proofErr w:type="spellEnd"/>
            <w:r w:rsidRPr="00CE2C28">
              <w:rPr>
                <w:sz w:val="16"/>
                <w:lang w:val="es-PR"/>
              </w:rPr>
              <w:t xml:space="preserve">, </w:t>
            </w:r>
            <w:proofErr w:type="spellStart"/>
            <w:r w:rsidRPr="00CE2C28">
              <w:rPr>
                <w:sz w:val="16"/>
                <w:lang w:val="es-PR"/>
              </w:rPr>
              <w:t>appendectomy</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cholecystectomy</w:t>
            </w:r>
            <w:proofErr w:type="spellEnd"/>
            <w:r w:rsidRPr="00CE2C28">
              <w:rPr>
                <w:sz w:val="16"/>
                <w:lang w:val="es-PR"/>
              </w:rPr>
              <w:t xml:space="preserve"> in </w:t>
            </w:r>
            <w:proofErr w:type="spellStart"/>
            <w:r w:rsidRPr="00CE2C28">
              <w:rPr>
                <w:sz w:val="16"/>
                <w:lang w:val="es-PR"/>
              </w:rPr>
              <w:t>the</w:t>
            </w:r>
            <w:proofErr w:type="spellEnd"/>
            <w:r w:rsidRPr="00CE2C28">
              <w:rPr>
                <w:sz w:val="16"/>
                <w:lang w:val="es-PR"/>
              </w:rPr>
              <w:t xml:space="preserve"> 60 </w:t>
            </w:r>
            <w:proofErr w:type="spellStart"/>
            <w:r w:rsidRPr="00CE2C28">
              <w:rPr>
                <w:sz w:val="16"/>
                <w:lang w:val="es-PR"/>
              </w:rPr>
              <w:t>days</w:t>
            </w:r>
            <w:proofErr w:type="spellEnd"/>
            <w:r w:rsidRPr="00CE2C28">
              <w:rPr>
                <w:sz w:val="16"/>
                <w:lang w:val="es-PR"/>
              </w:rPr>
              <w:t xml:space="preserve"> </w:t>
            </w:r>
            <w:proofErr w:type="spellStart"/>
            <w:r w:rsidRPr="00CE2C28">
              <w:rPr>
                <w:sz w:val="16"/>
                <w:lang w:val="es-PR"/>
              </w:rPr>
              <w:t>before</w:t>
            </w:r>
            <w:proofErr w:type="spellEnd"/>
            <w:r w:rsidRPr="00CE2C28">
              <w:rPr>
                <w:sz w:val="16"/>
                <w:lang w:val="es-PR"/>
              </w:rPr>
              <w:t xml:space="preserve"> </w:t>
            </w:r>
            <w:proofErr w:type="spellStart"/>
            <w:r w:rsidRPr="00CE2C28">
              <w:rPr>
                <w:sz w:val="16"/>
                <w:lang w:val="es-PR"/>
              </w:rPr>
              <w:t>screening</w:t>
            </w:r>
            <w:proofErr w:type="spellEnd"/>
            <w:r w:rsidRPr="00CE2C28">
              <w:rPr>
                <w:sz w:val="16"/>
                <w:lang w:val="es-PR"/>
              </w:rPr>
              <w:t xml:space="preserve">, </w:t>
            </w:r>
            <w:proofErr w:type="spellStart"/>
            <w:r w:rsidRPr="00CE2C28">
              <w:rPr>
                <w:sz w:val="16"/>
                <w:lang w:val="es-PR"/>
              </w:rPr>
              <w:t>other</w:t>
            </w:r>
            <w:proofErr w:type="spellEnd"/>
            <w:r w:rsidRPr="00CE2C28">
              <w:rPr>
                <w:sz w:val="16"/>
                <w:lang w:val="es-PR"/>
              </w:rPr>
              <w:t xml:space="preserve"> </w:t>
            </w:r>
            <w:proofErr w:type="spellStart"/>
            <w:r w:rsidRPr="00CE2C28">
              <w:rPr>
                <w:sz w:val="16"/>
                <w:lang w:val="es-PR"/>
              </w:rPr>
              <w:t>major</w:t>
            </w:r>
            <w:proofErr w:type="spellEnd"/>
            <w:r w:rsidRPr="00CE2C28">
              <w:rPr>
                <w:sz w:val="16"/>
                <w:lang w:val="es-PR"/>
              </w:rPr>
              <w:t xml:space="preserve"> </w:t>
            </w:r>
            <w:proofErr w:type="spellStart"/>
            <w:r w:rsidRPr="00CE2C28">
              <w:rPr>
                <w:sz w:val="16"/>
                <w:lang w:val="es-PR"/>
              </w:rPr>
              <w:t>surgery</w:t>
            </w:r>
            <w:proofErr w:type="spellEnd"/>
            <w:r w:rsidRPr="00CE2C28">
              <w:rPr>
                <w:sz w:val="16"/>
                <w:lang w:val="es-PR"/>
              </w:rPr>
              <w:t xml:space="preserve"> in 30 </w:t>
            </w:r>
            <w:proofErr w:type="spellStart"/>
            <w:r w:rsidRPr="00CE2C28">
              <w:rPr>
                <w:sz w:val="16"/>
                <w:lang w:val="es-PR"/>
              </w:rPr>
              <w:t>days</w:t>
            </w:r>
            <w:proofErr w:type="spellEnd"/>
            <w:r w:rsidRPr="00CE2C28">
              <w:rPr>
                <w:sz w:val="16"/>
                <w:lang w:val="es-PR"/>
              </w:rPr>
              <w:t xml:space="preserve"> </w:t>
            </w:r>
            <w:proofErr w:type="spellStart"/>
            <w:r w:rsidRPr="00CE2C28">
              <w:rPr>
                <w:sz w:val="16"/>
                <w:lang w:val="es-PR"/>
              </w:rPr>
              <w:t>before</w:t>
            </w:r>
            <w:proofErr w:type="spellEnd"/>
            <w:r w:rsidRPr="00CE2C28">
              <w:rPr>
                <w:sz w:val="16"/>
                <w:lang w:val="es-PR"/>
              </w:rPr>
              <w:t xml:space="preserve"> </w:t>
            </w:r>
            <w:proofErr w:type="spellStart"/>
            <w:r w:rsidRPr="00CE2C28">
              <w:rPr>
                <w:sz w:val="16"/>
                <w:lang w:val="es-PR"/>
              </w:rPr>
              <w:t>screening</w:t>
            </w:r>
            <w:proofErr w:type="spellEnd"/>
            <w:r w:rsidRPr="00CE2C28">
              <w:rPr>
                <w:sz w:val="16"/>
                <w:lang w:val="es-PR"/>
              </w:rPr>
              <w:t xml:space="preserve">, </w:t>
            </w:r>
            <w:proofErr w:type="spellStart"/>
            <w:r w:rsidRPr="00CE2C28">
              <w:rPr>
                <w:sz w:val="16"/>
                <w:lang w:val="es-PR"/>
              </w:rPr>
              <w:t>history</w:t>
            </w:r>
            <w:proofErr w:type="spellEnd"/>
            <w:r w:rsidRPr="00CE2C28">
              <w:rPr>
                <w:sz w:val="16"/>
                <w:lang w:val="es-PR"/>
              </w:rPr>
              <w:t xml:space="preserve"> of </w:t>
            </w:r>
            <w:proofErr w:type="spellStart"/>
            <w:r w:rsidRPr="00CE2C28">
              <w:rPr>
                <w:sz w:val="16"/>
                <w:lang w:val="es-PR"/>
              </w:rPr>
              <w:t>diverticulitis</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any</w:t>
            </w:r>
            <w:proofErr w:type="spellEnd"/>
            <w:r w:rsidRPr="00CE2C28">
              <w:rPr>
                <w:sz w:val="16"/>
                <w:lang w:val="es-PR"/>
              </w:rPr>
              <w:t xml:space="preserve"> </w:t>
            </w:r>
            <w:proofErr w:type="spellStart"/>
            <w:r w:rsidRPr="00CE2C28">
              <w:rPr>
                <w:sz w:val="16"/>
                <w:lang w:val="es-PR"/>
              </w:rPr>
              <w:t>chronic</w:t>
            </w:r>
            <w:proofErr w:type="spellEnd"/>
            <w:r w:rsidRPr="00CE2C28">
              <w:rPr>
                <w:sz w:val="16"/>
                <w:lang w:val="es-PR"/>
              </w:rPr>
              <w:t xml:space="preserve"> </w:t>
            </w:r>
            <w:proofErr w:type="spellStart"/>
            <w:r w:rsidRPr="00CE2C28">
              <w:rPr>
                <w:sz w:val="16"/>
                <w:lang w:val="es-PR"/>
              </w:rPr>
              <w:t>condition</w:t>
            </w:r>
            <w:proofErr w:type="spellEnd"/>
            <w:r w:rsidRPr="00CE2C28">
              <w:rPr>
                <w:sz w:val="16"/>
                <w:lang w:val="es-PR"/>
              </w:rPr>
              <w:t xml:space="preserve"> </w:t>
            </w:r>
            <w:proofErr w:type="spellStart"/>
            <w:r w:rsidRPr="00CE2C28">
              <w:rPr>
                <w:sz w:val="16"/>
                <w:lang w:val="es-PR"/>
              </w:rPr>
              <w:t>associated</w:t>
            </w:r>
            <w:proofErr w:type="spellEnd"/>
            <w:r w:rsidRPr="00CE2C28">
              <w:rPr>
                <w:sz w:val="16"/>
                <w:lang w:val="es-PR"/>
              </w:rPr>
              <w:t xml:space="preserve"> </w:t>
            </w:r>
            <w:proofErr w:type="spellStart"/>
            <w:r w:rsidRPr="00CE2C28">
              <w:rPr>
                <w:sz w:val="16"/>
                <w:lang w:val="es-PR"/>
              </w:rPr>
              <w:t>with</w:t>
            </w:r>
            <w:proofErr w:type="spellEnd"/>
            <w:r w:rsidRPr="00CE2C28">
              <w:rPr>
                <w:sz w:val="16"/>
                <w:lang w:val="es-PR"/>
              </w:rPr>
              <w:t xml:space="preserve"> abdominal </w:t>
            </w:r>
            <w:proofErr w:type="spellStart"/>
            <w:r w:rsidRPr="00CE2C28">
              <w:rPr>
                <w:sz w:val="16"/>
                <w:lang w:val="es-PR"/>
              </w:rPr>
              <w:t>pain</w:t>
            </w:r>
            <w:proofErr w:type="spellEnd"/>
            <w:r w:rsidRPr="00CE2C28">
              <w:rPr>
                <w:sz w:val="16"/>
                <w:lang w:val="es-PR"/>
              </w:rPr>
              <w:t xml:space="preserve"> </w:t>
            </w:r>
            <w:proofErr w:type="spellStart"/>
            <w:r w:rsidRPr="00CE2C28">
              <w:rPr>
                <w:sz w:val="16"/>
                <w:lang w:val="es-PR"/>
              </w:rPr>
              <w:t>or</w:t>
            </w:r>
            <w:proofErr w:type="spellEnd"/>
            <w:r w:rsidRPr="00CE2C28">
              <w:rPr>
                <w:sz w:val="16"/>
                <w:lang w:val="es-PR"/>
              </w:rPr>
              <w:t xml:space="preserve"> </w:t>
            </w:r>
            <w:proofErr w:type="spellStart"/>
            <w:r w:rsidRPr="00CE2C28">
              <w:rPr>
                <w:sz w:val="16"/>
                <w:lang w:val="es-PR"/>
              </w:rPr>
              <w:t>discomfort</w:t>
            </w:r>
            <w:proofErr w:type="spellEnd"/>
            <w:r w:rsidRPr="00CE2C28">
              <w:rPr>
                <w:sz w:val="16"/>
                <w:lang w:val="es-PR"/>
              </w:rPr>
              <w:t xml:space="preserve"> (</w:t>
            </w:r>
            <w:proofErr w:type="spellStart"/>
            <w:r w:rsidRPr="00CE2C28">
              <w:rPr>
                <w:sz w:val="16"/>
                <w:lang w:val="es-PR"/>
              </w:rPr>
              <w:t>e.g</w:t>
            </w:r>
            <w:proofErr w:type="spellEnd"/>
            <w:r w:rsidRPr="00CE2C28">
              <w:rPr>
                <w:sz w:val="16"/>
                <w:lang w:val="es-PR"/>
              </w:rPr>
              <w:t xml:space="preserve">. IBD, </w:t>
            </w:r>
            <w:proofErr w:type="spellStart"/>
            <w:r w:rsidRPr="00CE2C28">
              <w:rPr>
                <w:sz w:val="16"/>
                <w:lang w:val="es-PR"/>
              </w:rPr>
              <w:t>chronic</w:t>
            </w:r>
            <w:proofErr w:type="spellEnd"/>
            <w:r w:rsidRPr="00CE2C28">
              <w:rPr>
                <w:sz w:val="16"/>
                <w:lang w:val="es-PR"/>
              </w:rPr>
              <w:t xml:space="preserve"> pancreatitis, </w:t>
            </w:r>
            <w:proofErr w:type="spellStart"/>
            <w:r w:rsidRPr="00CE2C28">
              <w:rPr>
                <w:sz w:val="16"/>
                <w:lang w:val="es-PR"/>
              </w:rPr>
              <w:t>polycystic</w:t>
            </w:r>
            <w:proofErr w:type="spellEnd"/>
            <w:r w:rsidRPr="00CE2C28">
              <w:rPr>
                <w:sz w:val="16"/>
                <w:lang w:val="es-PR"/>
              </w:rPr>
              <w:t xml:space="preserve"> </w:t>
            </w:r>
            <w:proofErr w:type="spellStart"/>
            <w:r w:rsidRPr="00CE2C28">
              <w:rPr>
                <w:sz w:val="16"/>
                <w:lang w:val="es-PR"/>
              </w:rPr>
              <w:t>kidney</w:t>
            </w:r>
            <w:proofErr w:type="spellEnd"/>
            <w:r w:rsidRPr="00CE2C28">
              <w:rPr>
                <w:sz w:val="16"/>
                <w:lang w:val="es-PR"/>
              </w:rPr>
              <w:t xml:space="preserve"> </w:t>
            </w:r>
            <w:proofErr w:type="spellStart"/>
            <w:r w:rsidRPr="00CE2C28">
              <w:rPr>
                <w:sz w:val="16"/>
                <w:lang w:val="es-PR"/>
              </w:rPr>
              <w:t>disease</w:t>
            </w:r>
            <w:proofErr w:type="spellEnd"/>
            <w:r w:rsidRPr="00CE2C28">
              <w:rPr>
                <w:sz w:val="16"/>
                <w:lang w:val="es-PR"/>
              </w:rPr>
              <w:t xml:space="preserve">, </w:t>
            </w:r>
            <w:proofErr w:type="spellStart"/>
            <w:r w:rsidRPr="00CE2C28">
              <w:rPr>
                <w:sz w:val="16"/>
                <w:lang w:val="es-PR"/>
              </w:rPr>
              <w:t>ovarian</w:t>
            </w:r>
            <w:proofErr w:type="spellEnd"/>
            <w:r w:rsidRPr="00CE2C28">
              <w:rPr>
                <w:sz w:val="16"/>
                <w:lang w:val="es-PR"/>
              </w:rPr>
              <w:t xml:space="preserve"> </w:t>
            </w:r>
            <w:proofErr w:type="spellStart"/>
            <w:r w:rsidRPr="00CE2C28">
              <w:rPr>
                <w:sz w:val="16"/>
                <w:lang w:val="es-PR"/>
              </w:rPr>
              <w:t>cysts</w:t>
            </w:r>
            <w:proofErr w:type="spellEnd"/>
            <w:r w:rsidRPr="00CE2C28">
              <w:rPr>
                <w:sz w:val="16"/>
                <w:lang w:val="es-PR"/>
              </w:rPr>
              <w:t xml:space="preserve">, endometriosis, </w:t>
            </w:r>
            <w:proofErr w:type="spellStart"/>
            <w:r w:rsidRPr="00CE2C28">
              <w:rPr>
                <w:sz w:val="16"/>
                <w:lang w:val="es-PR"/>
              </w:rPr>
              <w:t>lactose</w:t>
            </w:r>
            <w:proofErr w:type="spellEnd"/>
            <w:r w:rsidRPr="00CE2C28">
              <w:rPr>
                <w:sz w:val="16"/>
                <w:lang w:val="es-PR"/>
              </w:rPr>
              <w:t xml:space="preserve"> </w:t>
            </w:r>
            <w:proofErr w:type="spellStart"/>
            <w:r w:rsidRPr="00CE2C28">
              <w:rPr>
                <w:sz w:val="16"/>
                <w:lang w:val="es-PR"/>
              </w:rPr>
              <w:t>intolerance</w:t>
            </w:r>
            <w:proofErr w:type="spellEnd"/>
            <w:r w:rsidRPr="00CE2C28">
              <w:rPr>
                <w:sz w:val="16"/>
                <w:lang w:val="es-PR"/>
              </w:rPr>
              <w:t xml:space="preserve">), </w:t>
            </w:r>
            <w:proofErr w:type="spellStart"/>
            <w:r w:rsidRPr="00CE2C28">
              <w:rPr>
                <w:sz w:val="16"/>
                <w:lang w:val="es-PR"/>
              </w:rPr>
              <w:t>family</w:t>
            </w:r>
            <w:proofErr w:type="spellEnd"/>
            <w:r w:rsidRPr="00CE2C28">
              <w:rPr>
                <w:sz w:val="16"/>
                <w:lang w:val="es-PR"/>
              </w:rPr>
              <w:t xml:space="preserve"> </w:t>
            </w:r>
            <w:proofErr w:type="spellStart"/>
            <w:r w:rsidRPr="00CE2C28">
              <w:rPr>
                <w:sz w:val="16"/>
                <w:lang w:val="es-PR"/>
              </w:rPr>
              <w:t>history</w:t>
            </w:r>
            <w:proofErr w:type="spellEnd"/>
            <w:r w:rsidRPr="00CE2C28">
              <w:rPr>
                <w:sz w:val="16"/>
                <w:lang w:val="es-PR"/>
              </w:rPr>
              <w:t xml:space="preserve"> of a </w:t>
            </w:r>
            <w:proofErr w:type="spellStart"/>
            <w:r w:rsidRPr="00CE2C28">
              <w:rPr>
                <w:sz w:val="16"/>
                <w:lang w:val="es-PR"/>
              </w:rPr>
              <w:t>familial</w:t>
            </w:r>
            <w:proofErr w:type="spellEnd"/>
            <w:r w:rsidRPr="00CE2C28">
              <w:rPr>
                <w:sz w:val="16"/>
                <w:lang w:val="es-PR"/>
              </w:rPr>
              <w:t xml:space="preserve"> </w:t>
            </w:r>
            <w:proofErr w:type="spellStart"/>
            <w:r w:rsidRPr="00CE2C28">
              <w:rPr>
                <w:sz w:val="16"/>
                <w:lang w:val="es-PR"/>
              </w:rPr>
              <w:t>form</w:t>
            </w:r>
            <w:proofErr w:type="spellEnd"/>
            <w:r w:rsidRPr="00CE2C28">
              <w:rPr>
                <w:sz w:val="16"/>
                <w:lang w:val="es-PR"/>
              </w:rPr>
              <w:t xml:space="preserve"> of </w:t>
            </w:r>
            <w:proofErr w:type="spellStart"/>
            <w:r w:rsidRPr="00CE2C28">
              <w:rPr>
                <w:sz w:val="16"/>
                <w:lang w:val="es-PR"/>
              </w:rPr>
              <w:t>colorectal</w:t>
            </w:r>
            <w:proofErr w:type="spellEnd"/>
            <w:r w:rsidRPr="00CE2C28">
              <w:rPr>
                <w:sz w:val="16"/>
                <w:lang w:val="es-PR"/>
              </w:rPr>
              <w:t xml:space="preserve"> </w:t>
            </w:r>
            <w:proofErr w:type="spellStart"/>
            <w:r w:rsidRPr="00CE2C28">
              <w:rPr>
                <w:sz w:val="16"/>
                <w:lang w:val="es-PR"/>
              </w:rPr>
              <w:t>cancer</w:t>
            </w:r>
            <w:proofErr w:type="spellEnd"/>
            <w:r w:rsidRPr="00CE2C28">
              <w:rPr>
                <w:sz w:val="16"/>
                <w:lang w:val="es-PR"/>
              </w:rPr>
              <w:t xml:space="preserve">, </w:t>
            </w:r>
            <w:proofErr w:type="spellStart"/>
            <w:r w:rsidRPr="00CE2C28">
              <w:rPr>
                <w:sz w:val="16"/>
                <w:lang w:val="es-PR"/>
              </w:rPr>
              <w:t>takincg</w:t>
            </w:r>
            <w:proofErr w:type="spellEnd"/>
            <w:r w:rsidRPr="00CE2C28">
              <w:rPr>
                <w:sz w:val="16"/>
                <w:lang w:val="es-PR"/>
              </w:rPr>
              <w:t xml:space="preserve"> </w:t>
            </w:r>
            <w:proofErr w:type="spellStart"/>
            <w:r w:rsidRPr="00CE2C28">
              <w:rPr>
                <w:sz w:val="16"/>
                <w:lang w:val="es-PR"/>
              </w:rPr>
              <w:t>constipating</w:t>
            </w:r>
            <w:proofErr w:type="spellEnd"/>
            <w:r w:rsidRPr="00CE2C28">
              <w:rPr>
                <w:sz w:val="16"/>
                <w:lang w:val="es-PR"/>
              </w:rPr>
              <w:t xml:space="preserve"> </w:t>
            </w:r>
            <w:proofErr w:type="spellStart"/>
            <w:r w:rsidRPr="00CE2C28">
              <w:rPr>
                <w:sz w:val="16"/>
                <w:lang w:val="es-PR"/>
              </w:rPr>
              <w:t>drugs</w:t>
            </w:r>
            <w:proofErr w:type="spellEnd"/>
            <w:r w:rsidRPr="00CE2C28">
              <w:rPr>
                <w:sz w:val="16"/>
                <w:lang w:val="es-PR"/>
              </w:rPr>
              <w:t xml:space="preserve"> </w:t>
            </w:r>
            <w:proofErr w:type="spellStart"/>
            <w:r w:rsidRPr="00CE2C28">
              <w:rPr>
                <w:sz w:val="16"/>
                <w:lang w:val="es-PR"/>
              </w:rPr>
              <w:t>such</w:t>
            </w:r>
            <w:proofErr w:type="spellEnd"/>
            <w:r w:rsidRPr="00CE2C28">
              <w:rPr>
                <w:sz w:val="16"/>
                <w:lang w:val="es-PR"/>
              </w:rPr>
              <w:t xml:space="preserve"> as </w:t>
            </w:r>
            <w:proofErr w:type="spellStart"/>
            <w:r w:rsidRPr="00CE2C28">
              <w:rPr>
                <w:sz w:val="16"/>
                <w:lang w:val="es-PR"/>
              </w:rPr>
              <w:t>narcotics</w:t>
            </w:r>
            <w:proofErr w:type="spellEnd"/>
            <w:r w:rsidRPr="00CE2C28">
              <w:rPr>
                <w:sz w:val="16"/>
                <w:lang w:val="es-PR"/>
              </w:rPr>
              <w:t xml:space="preserve"> (</w:t>
            </w:r>
            <w:proofErr w:type="spellStart"/>
            <w:r w:rsidRPr="00CE2C28">
              <w:rPr>
                <w:sz w:val="16"/>
                <w:lang w:val="es-PR"/>
              </w:rPr>
              <w:t>exception</w:t>
            </w:r>
            <w:proofErr w:type="spellEnd"/>
            <w:r w:rsidRPr="00CE2C28">
              <w:rPr>
                <w:sz w:val="16"/>
                <w:lang w:val="es-PR"/>
              </w:rPr>
              <w:t xml:space="preserve">- </w:t>
            </w:r>
            <w:proofErr w:type="spellStart"/>
            <w:r w:rsidRPr="00CE2C28">
              <w:rPr>
                <w:sz w:val="16"/>
                <w:lang w:val="es-PR"/>
              </w:rPr>
              <w:t>TCAs</w:t>
            </w:r>
            <w:proofErr w:type="spellEnd"/>
            <w:r w:rsidRPr="00CE2C28">
              <w:rPr>
                <w:sz w:val="16"/>
                <w:lang w:val="es-PR"/>
              </w:rPr>
              <w:t xml:space="preserve"> </w:t>
            </w:r>
            <w:proofErr w:type="spellStart"/>
            <w:r w:rsidRPr="00CE2C28">
              <w:rPr>
                <w:sz w:val="16"/>
                <w:lang w:val="es-PR"/>
              </w:rPr>
              <w:t>if</w:t>
            </w:r>
            <w:proofErr w:type="spellEnd"/>
            <w:r w:rsidRPr="00CE2C28">
              <w:rPr>
                <w:sz w:val="16"/>
                <w:lang w:val="es-PR"/>
              </w:rPr>
              <w:t xml:space="preserve"> </w:t>
            </w:r>
            <w:proofErr w:type="spellStart"/>
            <w:r w:rsidRPr="00CE2C28">
              <w:rPr>
                <w:sz w:val="16"/>
                <w:lang w:val="es-PR"/>
              </w:rPr>
              <w:t>dose</w:t>
            </w:r>
            <w:proofErr w:type="spellEnd"/>
            <w:r w:rsidRPr="00CE2C28">
              <w:rPr>
                <w:sz w:val="16"/>
                <w:lang w:val="es-PR"/>
              </w:rPr>
              <w:t xml:space="preserve"> </w:t>
            </w:r>
            <w:proofErr w:type="spellStart"/>
            <w:r w:rsidRPr="00CE2C28">
              <w:rPr>
                <w:sz w:val="16"/>
                <w:lang w:val="es-PR"/>
              </w:rPr>
              <w:t>was</w:t>
            </w:r>
            <w:proofErr w:type="spellEnd"/>
            <w:r w:rsidRPr="00CE2C28">
              <w:rPr>
                <w:sz w:val="16"/>
                <w:lang w:val="es-PR"/>
              </w:rPr>
              <w:t xml:space="preserve"> </w:t>
            </w:r>
            <w:proofErr w:type="spellStart"/>
            <w:r w:rsidRPr="00CE2C28">
              <w:rPr>
                <w:sz w:val="16"/>
                <w:lang w:val="es-PR"/>
              </w:rPr>
              <w:t>stable</w:t>
            </w:r>
            <w:proofErr w:type="spellEnd"/>
            <w:r w:rsidRPr="00CE2C28">
              <w:rPr>
                <w:sz w:val="16"/>
                <w:lang w:val="es-PR"/>
              </w:rPr>
              <w:t xml:space="preserve">). </w:t>
            </w:r>
            <w:proofErr w:type="spellStart"/>
            <w:r w:rsidRPr="00CE2C28">
              <w:rPr>
                <w:sz w:val="16"/>
                <w:lang w:val="es-PR"/>
              </w:rPr>
              <w:t>Women</w:t>
            </w:r>
            <w:proofErr w:type="spellEnd"/>
            <w:r w:rsidRPr="00CE2C28">
              <w:rPr>
                <w:sz w:val="16"/>
                <w:lang w:val="es-PR"/>
              </w:rPr>
              <w:t xml:space="preserve"> of </w:t>
            </w:r>
            <w:proofErr w:type="spellStart"/>
            <w:r w:rsidRPr="00CE2C28">
              <w:rPr>
                <w:sz w:val="16"/>
                <w:lang w:val="es-PR"/>
              </w:rPr>
              <w:t>childbearing</w:t>
            </w:r>
            <w:proofErr w:type="spellEnd"/>
            <w:r w:rsidRPr="00CE2C28">
              <w:rPr>
                <w:sz w:val="16"/>
                <w:lang w:val="es-PR"/>
              </w:rPr>
              <w:t xml:space="preserve"> </w:t>
            </w:r>
            <w:proofErr w:type="spellStart"/>
            <w:r w:rsidRPr="00CE2C28">
              <w:rPr>
                <w:sz w:val="16"/>
                <w:lang w:val="es-PR"/>
              </w:rPr>
              <w:t>potential</w:t>
            </w:r>
            <w:proofErr w:type="spellEnd"/>
            <w:r w:rsidRPr="00CE2C28">
              <w:rPr>
                <w:sz w:val="16"/>
                <w:lang w:val="es-PR"/>
              </w:rPr>
              <w:t xml:space="preserve"> </w:t>
            </w:r>
            <w:proofErr w:type="spellStart"/>
            <w:r w:rsidRPr="00CE2C28">
              <w:rPr>
                <w:sz w:val="16"/>
                <w:lang w:val="es-PR"/>
              </w:rPr>
              <w:t>were</w:t>
            </w:r>
            <w:proofErr w:type="spellEnd"/>
            <w:r w:rsidRPr="00CE2C28">
              <w:rPr>
                <w:sz w:val="16"/>
                <w:lang w:val="es-PR"/>
              </w:rPr>
              <w:t xml:space="preserve"> </w:t>
            </w:r>
            <w:proofErr w:type="spellStart"/>
            <w:r w:rsidRPr="00CE2C28">
              <w:rPr>
                <w:sz w:val="16"/>
                <w:lang w:val="es-PR"/>
              </w:rPr>
              <w:t>required</w:t>
            </w:r>
            <w:proofErr w:type="spellEnd"/>
            <w:r w:rsidRPr="00CE2C28">
              <w:rPr>
                <w:sz w:val="16"/>
                <w:lang w:val="es-PR"/>
              </w:rPr>
              <w:t xml:space="preserve"> </w:t>
            </w:r>
            <w:proofErr w:type="spellStart"/>
            <w:r w:rsidRPr="00CE2C28">
              <w:rPr>
                <w:sz w:val="16"/>
                <w:lang w:val="es-PR"/>
              </w:rPr>
              <w:t>to</w:t>
            </w:r>
            <w:proofErr w:type="spellEnd"/>
            <w:r w:rsidRPr="00CE2C28">
              <w:rPr>
                <w:sz w:val="16"/>
                <w:lang w:val="es-PR"/>
              </w:rPr>
              <w:t xml:space="preserve"> use </w:t>
            </w:r>
            <w:proofErr w:type="spellStart"/>
            <w:r w:rsidRPr="00CE2C28">
              <w:rPr>
                <w:sz w:val="16"/>
                <w:lang w:val="es-PR"/>
              </w:rPr>
              <w:t>contraceptives</w:t>
            </w:r>
            <w:proofErr w:type="spellEnd"/>
            <w:r w:rsidRPr="00CE2C28">
              <w:rPr>
                <w:sz w:val="16"/>
                <w:lang w:val="es-PR"/>
              </w:rPr>
              <w:t xml:space="preserve"> and </w:t>
            </w:r>
            <w:proofErr w:type="spellStart"/>
            <w:r w:rsidRPr="00CE2C28">
              <w:rPr>
                <w:sz w:val="16"/>
                <w:lang w:val="es-PR"/>
              </w:rPr>
              <w:t>have</w:t>
            </w:r>
            <w:proofErr w:type="spellEnd"/>
            <w:r w:rsidRPr="00CE2C28">
              <w:rPr>
                <w:sz w:val="16"/>
                <w:lang w:val="es-PR"/>
              </w:rPr>
              <w:t xml:space="preserve"> a </w:t>
            </w:r>
            <w:proofErr w:type="spellStart"/>
            <w:r w:rsidRPr="00CE2C28">
              <w:rPr>
                <w:sz w:val="16"/>
                <w:lang w:val="es-PR"/>
              </w:rPr>
              <w:t>negative</w:t>
            </w:r>
            <w:proofErr w:type="spellEnd"/>
            <w:r w:rsidRPr="00CE2C28">
              <w:rPr>
                <w:sz w:val="16"/>
                <w:lang w:val="es-PR"/>
              </w:rPr>
              <w:t xml:space="preserve"> </w:t>
            </w:r>
            <w:proofErr w:type="spellStart"/>
            <w:r w:rsidRPr="00CE2C28">
              <w:rPr>
                <w:sz w:val="16"/>
                <w:lang w:val="es-PR"/>
              </w:rPr>
              <w:t>serum</w:t>
            </w:r>
            <w:proofErr w:type="spellEnd"/>
            <w:r w:rsidRPr="00CE2C28">
              <w:rPr>
                <w:sz w:val="16"/>
                <w:lang w:val="es-PR"/>
              </w:rPr>
              <w:t xml:space="preserve"> </w:t>
            </w:r>
            <w:proofErr w:type="spellStart"/>
            <w:r w:rsidRPr="00CE2C28">
              <w:rPr>
                <w:sz w:val="16"/>
                <w:lang w:val="es-PR"/>
              </w:rPr>
              <w:t>pregnancy</w:t>
            </w:r>
            <w:proofErr w:type="spellEnd"/>
            <w:r w:rsidRPr="00CE2C28">
              <w:rPr>
                <w:sz w:val="16"/>
                <w:lang w:val="es-PR"/>
              </w:rPr>
              <w:t xml:space="preserve"> test. </w:t>
            </w:r>
          </w:p>
        </w:tc>
        <w:tc>
          <w:tcPr>
            <w:tcW w:w="706" w:type="pct"/>
            <w:tcBorders>
              <w:top w:val="single" w:sz="6" w:space="0" w:color="auto"/>
            </w:tcBorders>
          </w:tcPr>
          <w:p w:rsidR="00FF7E38" w:rsidRPr="00CE2C28" w:rsidRDefault="00FF7E38" w:rsidP="002D0FE9">
            <w:pPr>
              <w:pStyle w:val="Table"/>
              <w:rPr>
                <w:sz w:val="16"/>
              </w:rPr>
            </w:pPr>
            <w:r w:rsidRPr="00CE2C28">
              <w:rPr>
                <w:sz w:val="16"/>
              </w:rPr>
              <w:t>Linaclotide 290 mcg orally once daily or placebo for treatment period</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Withdrawal period: placebo group switched to linaclotide, linaclotide group were randomized to continue or switch to placebo</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Screening period up to 21 days, baseline period 14-21 days, treatment period 12 weeks, withdrawal period 4 weeks</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Could continue any fiber, bulk laxatives, stool softeners, or probiotics if the dose was stable</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 xml:space="preserve">Rescue medication of </w:t>
            </w:r>
            <w:proofErr w:type="spellStart"/>
            <w:r w:rsidRPr="00CE2C28">
              <w:rPr>
                <w:sz w:val="16"/>
              </w:rPr>
              <w:t>bisacodyl</w:t>
            </w:r>
            <w:proofErr w:type="spellEnd"/>
            <w:r w:rsidRPr="00CE2C28">
              <w:rPr>
                <w:sz w:val="16"/>
              </w:rPr>
              <w:t xml:space="preserve"> 5mg orally or 10mg suppository was allowed if it had been 72 hours since last BM or </w:t>
            </w:r>
            <w:proofErr w:type="spellStart"/>
            <w:r w:rsidRPr="00CE2C28">
              <w:rPr>
                <w:sz w:val="16"/>
              </w:rPr>
              <w:t>symtpoms</w:t>
            </w:r>
            <w:proofErr w:type="spellEnd"/>
            <w:r w:rsidRPr="00CE2C28">
              <w:rPr>
                <w:sz w:val="16"/>
              </w:rPr>
              <w:t xml:space="preserve"> were intolerable </w:t>
            </w:r>
          </w:p>
        </w:tc>
        <w:tc>
          <w:tcPr>
            <w:tcW w:w="758" w:type="pct"/>
            <w:tcBorders>
              <w:top w:val="single" w:sz="6" w:space="0" w:color="auto"/>
            </w:tcBorders>
          </w:tcPr>
          <w:p w:rsidR="00FF7E38" w:rsidRPr="00CE2C28" w:rsidRDefault="00FF7E38" w:rsidP="002D0FE9">
            <w:pPr>
              <w:pStyle w:val="Table"/>
              <w:rPr>
                <w:sz w:val="16"/>
              </w:rPr>
            </w:pPr>
            <w:r w:rsidRPr="00CE2C28">
              <w:rPr>
                <w:sz w:val="16"/>
              </w:rPr>
              <w:t>803 patients: 397 placebo, 406 linaclotide</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Average age 43, 90% female, 76-77% white</w:t>
            </w:r>
          </w:p>
          <w:p w:rsidR="00BF1B3A" w:rsidRPr="00CE2C28" w:rsidRDefault="00BF1B3A" w:rsidP="002D0FE9">
            <w:pPr>
              <w:pStyle w:val="Table"/>
              <w:rPr>
                <w:sz w:val="16"/>
              </w:rPr>
            </w:pPr>
          </w:p>
          <w:p w:rsidR="00BF1B3A" w:rsidRPr="00CE2C28" w:rsidRDefault="00BF1B3A" w:rsidP="002D0FE9">
            <w:pPr>
              <w:pStyle w:val="Table"/>
              <w:rPr>
                <w:sz w:val="16"/>
              </w:rPr>
            </w:pPr>
            <w:r w:rsidRPr="00CE2C28">
              <w:rPr>
                <w:sz w:val="16"/>
              </w:rPr>
              <w:t>Baseline IBS-C severity 3.7-3.8 on a 5-point scale.</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No significant differences in baseline characteristics except: linaclotide group had slightly higher abdominal fullness score (6.8 vs. 6.5, p=0.011), placebo group had slightly higher stool consistency score (2.4 vs. 2.3, p=0.046), and linaclotide group had slightly higher straining score (3.6 vs. 3.4, p=0.020)</w:t>
            </w:r>
          </w:p>
        </w:tc>
        <w:tc>
          <w:tcPr>
            <w:tcW w:w="1058" w:type="pct"/>
            <w:tcBorders>
              <w:top w:val="single" w:sz="6" w:space="0" w:color="auto"/>
            </w:tcBorders>
          </w:tcPr>
          <w:p w:rsidR="00FF7E38" w:rsidRPr="00CE2C28" w:rsidRDefault="00FF7E38" w:rsidP="002D0FE9">
            <w:pPr>
              <w:pStyle w:val="Table"/>
              <w:rPr>
                <w:sz w:val="16"/>
              </w:rPr>
            </w:pPr>
            <w:r w:rsidRPr="00CE2C28">
              <w:rPr>
                <w:sz w:val="16"/>
              </w:rPr>
              <w:t>Primary Endpoints:</w:t>
            </w:r>
          </w:p>
          <w:p w:rsidR="00FF7E38" w:rsidRPr="00CE2C28" w:rsidRDefault="00FF7E38" w:rsidP="002D0FE9">
            <w:pPr>
              <w:pStyle w:val="Table"/>
              <w:rPr>
                <w:sz w:val="16"/>
              </w:rPr>
            </w:pPr>
          </w:p>
          <w:p w:rsidR="00FF7E38" w:rsidRPr="00CE2C28" w:rsidRDefault="00FF7E38" w:rsidP="002D0FE9">
            <w:pPr>
              <w:pStyle w:val="Table"/>
              <w:rPr>
                <w:rFonts w:cs="Arial"/>
                <w:sz w:val="16"/>
              </w:rPr>
            </w:pPr>
            <w:r w:rsidRPr="00CE2C28">
              <w:rPr>
                <w:rFonts w:cs="Arial"/>
                <w:sz w:val="16"/>
              </w:rPr>
              <w:t>≥ 30% improvement in abdominal pain and ≥ 1 complete SBM increase in ≥ 6 of 12 weeks: 21.0% placebo vs. 33.6% linaclotide, OR 1.9 (95% CI 1.4-2.7), p &lt;0.0001, NNT = 8</w:t>
            </w: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r w:rsidRPr="00CE2C28">
              <w:rPr>
                <w:rFonts w:cs="Arial"/>
                <w:sz w:val="16"/>
              </w:rPr>
              <w:t>≥ 30% improvement in abdominal pain for ≥ 9 of 12 weeks: 27.1% placebo vs. 34.3% linaclotide, OR 1.4 (95% CI 1.0-1.9), p=0.0262, NNT=13.8</w:t>
            </w: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r w:rsidRPr="00CE2C28">
              <w:rPr>
                <w:rFonts w:cs="Arial"/>
                <w:sz w:val="16"/>
              </w:rPr>
              <w:t>≥ 3 complete SBM and increase of ≥ 1 from baseline for ≥ 9 of 12 weeks: 6.3% placebo vs. 19.5% linaclotide, OR 3.7 (95% CI 2.3-5.9), p &lt; 0.0001, NNT = 7.6</w:t>
            </w: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r w:rsidRPr="00CE2C28">
              <w:rPr>
                <w:rFonts w:cs="Arial"/>
                <w:sz w:val="16"/>
              </w:rPr>
              <w:t>≥ 30% improvement in abdominal pain, ≥ 3 complete SBM and increase of ≥ 1 from baseline for ≥ 9 of 12 weeks: 5.1% placebo vs. 12.1% linaclotide, OR 2.6 (95% CI 1.5-4.5) p=0.0004, NNT=14.2</w:t>
            </w: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p>
          <w:p w:rsidR="00FF7E38" w:rsidRPr="00CE2C28" w:rsidRDefault="00FF7E38" w:rsidP="002D0FE9">
            <w:pPr>
              <w:pStyle w:val="Table"/>
              <w:rPr>
                <w:sz w:val="16"/>
              </w:rPr>
            </w:pPr>
            <w:r w:rsidRPr="00CE2C28">
              <w:rPr>
                <w:sz w:val="16"/>
              </w:rPr>
              <w:t>Secondary endpoints:</w:t>
            </w: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r w:rsidRPr="00CE2C28">
              <w:rPr>
                <w:rFonts w:cs="Arial"/>
                <w:sz w:val="16"/>
              </w:rPr>
              <w:t>IBS severity (≥ 1 point decrease from baseline on 5 point scale for ≥ 6 of 12 weeks) 37.5% placebo vs. 56.3% linaclotide, p&lt;0.0001 NNT=5.3</w:t>
            </w:r>
          </w:p>
          <w:p w:rsidR="00FF7E38" w:rsidRPr="00CE2C28" w:rsidRDefault="00FF7E38" w:rsidP="002D0FE9">
            <w:pPr>
              <w:pStyle w:val="Table"/>
              <w:rPr>
                <w:rFonts w:cs="Arial"/>
                <w:sz w:val="16"/>
              </w:rPr>
            </w:pPr>
          </w:p>
          <w:p w:rsidR="00FF7E38" w:rsidRPr="00CE2C28" w:rsidRDefault="00FF7E38" w:rsidP="002D0FE9">
            <w:pPr>
              <w:pStyle w:val="Table"/>
              <w:rPr>
                <w:rFonts w:cs="Arial"/>
                <w:sz w:val="16"/>
              </w:rPr>
            </w:pPr>
            <w:r w:rsidRPr="00CE2C28">
              <w:rPr>
                <w:rFonts w:cs="Arial"/>
                <w:sz w:val="16"/>
              </w:rPr>
              <w:t>Adequate relief of symptoms: 34.2% placebo vs. 48.9% linaclotide, p&lt;0.0001, NNT 6.8</w:t>
            </w:r>
          </w:p>
        </w:tc>
        <w:tc>
          <w:tcPr>
            <w:tcW w:w="579" w:type="pct"/>
            <w:tcBorders>
              <w:top w:val="single" w:sz="6" w:space="0" w:color="auto"/>
            </w:tcBorders>
          </w:tcPr>
          <w:p w:rsidR="00FF7E38" w:rsidRPr="00CE2C28" w:rsidRDefault="00FF7E38" w:rsidP="002D0FE9">
            <w:pPr>
              <w:pStyle w:val="Table"/>
              <w:rPr>
                <w:sz w:val="16"/>
              </w:rPr>
            </w:pPr>
            <w:r w:rsidRPr="00CE2C28">
              <w:rPr>
                <w:sz w:val="16"/>
              </w:rPr>
              <w:t>No deaths</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No evidence of rebound in the withdrawal period</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Serious adverse events 0.5% in both groups</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Any adverse event 53% placebo vs. 56.2% linaclotide, p=0.3949</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Diarrhea 3.5% placebo vs. 19.5% linaclotide, p&lt;0.0001</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Abdominal pain 2.5% placebo vs. 5.4% linaclotide, p=0.0462</w:t>
            </w:r>
          </w:p>
          <w:p w:rsidR="00FF7E38" w:rsidRPr="00CE2C28" w:rsidRDefault="00FF7E38" w:rsidP="002D0FE9">
            <w:pPr>
              <w:pStyle w:val="Table"/>
              <w:rPr>
                <w:sz w:val="16"/>
              </w:rPr>
            </w:pPr>
          </w:p>
          <w:p w:rsidR="00FF7E38" w:rsidRPr="00CE2C28" w:rsidRDefault="00FF7E38" w:rsidP="002D0FE9">
            <w:pPr>
              <w:pStyle w:val="Table"/>
              <w:rPr>
                <w:sz w:val="16"/>
              </w:rPr>
            </w:pPr>
            <w:r w:rsidRPr="00CE2C28">
              <w:rPr>
                <w:sz w:val="16"/>
              </w:rPr>
              <w:t>Flatulence 1.5% placebo vs. 4.9% linaclotide, p=0.0084</w:t>
            </w:r>
          </w:p>
          <w:p w:rsidR="00FF7E38" w:rsidRPr="00CE2C28" w:rsidRDefault="00FF7E38" w:rsidP="002D0FE9">
            <w:pPr>
              <w:pStyle w:val="Table"/>
              <w:rPr>
                <w:sz w:val="16"/>
              </w:rPr>
            </w:pPr>
          </w:p>
        </w:tc>
        <w:tc>
          <w:tcPr>
            <w:tcW w:w="689" w:type="pct"/>
            <w:tcBorders>
              <w:top w:val="single" w:sz="6" w:space="0" w:color="auto"/>
            </w:tcBorders>
          </w:tcPr>
          <w:p w:rsidR="00FF7E38" w:rsidRPr="00CE2C28" w:rsidRDefault="00FF7E38" w:rsidP="002D0FE9">
            <w:pPr>
              <w:pStyle w:val="Table"/>
              <w:rPr>
                <w:sz w:val="16"/>
              </w:rPr>
            </w:pPr>
            <w:r w:rsidRPr="00CE2C28">
              <w:rPr>
                <w:sz w:val="16"/>
              </w:rPr>
              <w:t xml:space="preserve">More linaclotide patients achieved statistical and clinical improvement in IBS-C symptoms than placebo. Most patients experienced a BM within 24 hours. Improvement in bloating and abdominal discomfort began in the first week. Maximum improvement in IBS-C symptoms was reached after 6-8 weeks. There was no sign of rebound in the withdrawal period. Diarrhea was the most common side effect. </w:t>
            </w:r>
          </w:p>
          <w:p w:rsidR="00FF7E38" w:rsidRPr="00CE2C28" w:rsidRDefault="00FF7E38" w:rsidP="002D0FE9">
            <w:pPr>
              <w:pStyle w:val="Table"/>
              <w:rPr>
                <w:sz w:val="16"/>
              </w:rPr>
            </w:pPr>
          </w:p>
          <w:p w:rsidR="00FF7E38" w:rsidRPr="00CE2C28" w:rsidRDefault="00FF7E38" w:rsidP="002D0FE9">
            <w:pPr>
              <w:pStyle w:val="Table"/>
              <w:rPr>
                <w:sz w:val="16"/>
              </w:rPr>
            </w:pPr>
            <w:proofErr w:type="spellStart"/>
            <w:r w:rsidRPr="00CE2C28">
              <w:rPr>
                <w:sz w:val="16"/>
              </w:rPr>
              <w:t>Jadad</w:t>
            </w:r>
            <w:proofErr w:type="spellEnd"/>
            <w:r w:rsidRPr="00CE2C28">
              <w:rPr>
                <w:sz w:val="16"/>
              </w:rPr>
              <w:t xml:space="preserve"> Quality Rating: 5 </w:t>
            </w:r>
          </w:p>
        </w:tc>
      </w:tr>
      <w:tr w:rsidR="008547E2" w:rsidRPr="00CE2C28" w:rsidTr="000566E9">
        <w:tc>
          <w:tcPr>
            <w:tcW w:w="601" w:type="pct"/>
            <w:tcBorders>
              <w:top w:val="single" w:sz="6" w:space="0" w:color="808080"/>
              <w:bottom w:val="single" w:sz="6" w:space="0" w:color="808080"/>
            </w:tcBorders>
          </w:tcPr>
          <w:p w:rsidR="009A1743" w:rsidRPr="00CE2C28" w:rsidRDefault="009A1743" w:rsidP="009A1743">
            <w:pPr>
              <w:pStyle w:val="Table"/>
              <w:rPr>
                <w:sz w:val="16"/>
              </w:rPr>
            </w:pPr>
            <w:proofErr w:type="spellStart"/>
            <w:r w:rsidRPr="00CE2C28">
              <w:rPr>
                <w:sz w:val="16"/>
              </w:rPr>
              <w:t>Chey</w:t>
            </w:r>
            <w:proofErr w:type="spellEnd"/>
            <w:r w:rsidRPr="00CE2C28">
              <w:rPr>
                <w:sz w:val="16"/>
              </w:rPr>
              <w:t xml:space="preserve"> (2012</w:t>
            </w:r>
            <w:r w:rsidR="008E41EB" w:rsidRPr="00CE2C28">
              <w:rPr>
                <w:sz w:val="16"/>
              </w:rPr>
              <w:t>)</w:t>
            </w:r>
          </w:p>
          <w:p w:rsidR="009A1743" w:rsidRPr="00CE2C28" w:rsidRDefault="009A1743" w:rsidP="009A1743">
            <w:pPr>
              <w:pStyle w:val="Table"/>
              <w:rPr>
                <w:sz w:val="16"/>
              </w:rPr>
            </w:pPr>
            <w:r w:rsidRPr="00CE2C28">
              <w:rPr>
                <w:sz w:val="16"/>
              </w:rPr>
              <w:t xml:space="preserve">Linaclotide for Irritable Bowel Syndrome With Constipation: A 26-Week, Randomized Double-blind, Placebo-Controlled Trial to Evaluate Efficacy and Safety        </w:t>
            </w:r>
          </w:p>
          <w:p w:rsidR="009A1743" w:rsidRPr="00CE2C28" w:rsidRDefault="009A1743" w:rsidP="009A1743">
            <w:pPr>
              <w:pStyle w:val="Table"/>
              <w:rPr>
                <w:sz w:val="16"/>
              </w:rPr>
            </w:pPr>
            <w:r w:rsidRPr="00CE2C28">
              <w:rPr>
                <w:sz w:val="16"/>
              </w:rPr>
              <w:t>MC DB PC CO RCT</w:t>
            </w:r>
          </w:p>
          <w:p w:rsidR="009A1743" w:rsidRPr="00CE2C28" w:rsidRDefault="009A1743" w:rsidP="009A1743">
            <w:pPr>
              <w:pStyle w:val="Table"/>
              <w:rPr>
                <w:sz w:val="16"/>
              </w:rPr>
            </w:pPr>
            <w:r w:rsidRPr="00CE2C28">
              <w:rPr>
                <w:sz w:val="16"/>
              </w:rPr>
              <w:t>ITT</w:t>
            </w:r>
          </w:p>
          <w:p w:rsidR="008547E2" w:rsidRPr="00CE2C28" w:rsidRDefault="009A1743" w:rsidP="009A1743">
            <w:pPr>
              <w:pStyle w:val="Table"/>
              <w:rPr>
                <w:sz w:val="16"/>
                <w:vertAlign w:val="superscript"/>
              </w:rPr>
            </w:pPr>
            <w:r w:rsidRPr="00CE2C28">
              <w:rPr>
                <w:sz w:val="16"/>
              </w:rPr>
              <w:t>Outpatient clinics (USA</w:t>
            </w:r>
            <w:r w:rsidR="008E41EB" w:rsidRPr="00CE2C28">
              <w:rPr>
                <w:sz w:val="16"/>
              </w:rPr>
              <w:t>)</w:t>
            </w:r>
            <w:r w:rsidR="008E41EB" w:rsidRPr="00CE2C28">
              <w:rPr>
                <w:sz w:val="16"/>
                <w:vertAlign w:val="superscript"/>
              </w:rPr>
              <w:t>3</w:t>
            </w:r>
          </w:p>
        </w:tc>
        <w:tc>
          <w:tcPr>
            <w:tcW w:w="608"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 xml:space="preserve">Inclusion criteria: </w:t>
            </w:r>
          </w:p>
          <w:p w:rsidR="009A1743" w:rsidRPr="00CE2C28" w:rsidRDefault="009A1743" w:rsidP="009A1743">
            <w:pPr>
              <w:pStyle w:val="Table"/>
              <w:rPr>
                <w:sz w:val="16"/>
              </w:rPr>
            </w:pPr>
            <w:r w:rsidRPr="00CE2C28">
              <w:rPr>
                <w:sz w:val="16"/>
              </w:rPr>
              <w:t>At least 18 years old; met modified Rome II criteria for IBS-C, mean daily abdominal pain score of at least 3.0 (on 11-point scale)during 2 weeks baseline period, Mean of &lt; 3 CSBMs and ≤ 5 SBMs per week during baseline period</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 xml:space="preserve">Exclusion criteria: loose (mushy) or watery stools in the absence of laxatives &gt; 25% of </w:t>
            </w:r>
          </w:p>
          <w:p w:rsidR="009A1743" w:rsidRPr="00CE2C28" w:rsidRDefault="009A1743" w:rsidP="009A1743">
            <w:pPr>
              <w:pStyle w:val="Table"/>
              <w:rPr>
                <w:sz w:val="16"/>
              </w:rPr>
            </w:pPr>
            <w:r w:rsidRPr="00CE2C28">
              <w:rPr>
                <w:sz w:val="16"/>
              </w:rPr>
              <w:t xml:space="preserve">BMs during the 12 weeks preceding the study, mushy stool (BSFS score of 6) for &gt; 1 SBM or watery, liquid stool </w:t>
            </w:r>
          </w:p>
          <w:p w:rsidR="009A1743" w:rsidRPr="00CE2C28" w:rsidRDefault="009A1743" w:rsidP="009A1743">
            <w:pPr>
              <w:pStyle w:val="Table"/>
              <w:rPr>
                <w:sz w:val="16"/>
              </w:rPr>
            </w:pPr>
            <w:r w:rsidRPr="00CE2C28">
              <w:rPr>
                <w:sz w:val="16"/>
              </w:rPr>
              <w:t xml:space="preserve">(BSFS of 7) for any SBM during baseline period, history of surgery to remove a segment of the GI tract or bariatric </w:t>
            </w:r>
          </w:p>
          <w:p w:rsidR="009A1743" w:rsidRPr="00CE2C28" w:rsidRDefault="009A1743" w:rsidP="009A1743">
            <w:pPr>
              <w:pStyle w:val="Table"/>
              <w:rPr>
                <w:sz w:val="16"/>
              </w:rPr>
            </w:pPr>
            <w:r w:rsidRPr="00CE2C28">
              <w:rPr>
                <w:sz w:val="16"/>
              </w:rPr>
              <w:t xml:space="preserve">surgery for obesity at any time, history of any chronic condition that could be associated with </w:t>
            </w:r>
          </w:p>
          <w:p w:rsidR="008547E2" w:rsidRPr="00CE2C28" w:rsidRDefault="009A1743" w:rsidP="00F914D6">
            <w:pPr>
              <w:pStyle w:val="Table"/>
              <w:rPr>
                <w:sz w:val="16"/>
              </w:rPr>
            </w:pPr>
            <w:r w:rsidRPr="00CE2C28">
              <w:rPr>
                <w:sz w:val="16"/>
              </w:rPr>
              <w:t>abdominal pain or discomfort and could confound the trial assessments, abdominal surgery within 6 months prior to study, laxative abuse</w:t>
            </w:r>
          </w:p>
        </w:tc>
        <w:tc>
          <w:tcPr>
            <w:tcW w:w="706"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Linaclotide 290 mcg orally once daily or placebo</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 xml:space="preserve">Rescue medication (per protocol use) of </w:t>
            </w:r>
            <w:proofErr w:type="spellStart"/>
            <w:r w:rsidRPr="00CE2C28">
              <w:rPr>
                <w:sz w:val="16"/>
              </w:rPr>
              <w:t>bisacodyl</w:t>
            </w:r>
            <w:proofErr w:type="spellEnd"/>
            <w:r w:rsidRPr="00CE2C28">
              <w:rPr>
                <w:sz w:val="16"/>
              </w:rPr>
              <w:t xml:space="preserve"> 5 mg tablets or 10 mg suppositories</w:t>
            </w:r>
          </w:p>
          <w:p w:rsidR="008547E2" w:rsidRPr="00CE2C28" w:rsidRDefault="008547E2" w:rsidP="00F914D6">
            <w:pPr>
              <w:pStyle w:val="Table"/>
              <w:rPr>
                <w:sz w:val="16"/>
              </w:rPr>
            </w:pPr>
          </w:p>
        </w:tc>
        <w:tc>
          <w:tcPr>
            <w:tcW w:w="758"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(Weeks 1-12) 804 patients: 403 placebo, 401 linaclotide</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Average age 44, 90% female, 78% white</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No significant differences in baseline characteristics except placebo group had higher percentage of men than linaclotide group (12.7% vs. 8.2% p = 0.0379)</w:t>
            </w:r>
          </w:p>
          <w:p w:rsidR="008547E2" w:rsidRPr="00CE2C28" w:rsidRDefault="008547E2" w:rsidP="00F914D6">
            <w:pPr>
              <w:pStyle w:val="Table"/>
              <w:rPr>
                <w:sz w:val="16"/>
              </w:rPr>
            </w:pPr>
          </w:p>
        </w:tc>
        <w:tc>
          <w:tcPr>
            <w:tcW w:w="1058"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Primary endpoints: Decrease of both ≥ 30% from baseline in average abdominal pain score and increase of ≥ 1 CSBM from baseline during same week for at least 6/12 or 13/26 weeks of treatment period. Weeks not have to be consecutive: (Weeks 1-12)13.9% placebo vs. 33.7% linaclotide(NNT = 5.1), (Weeks 1-26) 13.2% placebo vs. 32.4% linaclotide (NNT = 5.2)</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Decrease of ≥ 30% from baseline in average abdominal pain score during particular week for at least 9/12 or 20/26 weeks of treatment period (Weeks 1-12) 19.6% placebo vs. 38.9% linaclotide(NNT = 5.2). (Weeks 1-26) 17.4% placebo vs. 36.9% linaclotide (NNT = 5.1)</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 xml:space="preserve">≥ 3 CSBMs and increase of ≥ 1 CSBM from baseline during </w:t>
            </w:r>
          </w:p>
          <w:p w:rsidR="009A1743" w:rsidRPr="00CE2C28" w:rsidRDefault="009A1743" w:rsidP="009A1743">
            <w:pPr>
              <w:pStyle w:val="Table"/>
              <w:rPr>
                <w:sz w:val="16"/>
              </w:rPr>
            </w:pPr>
            <w:proofErr w:type="gramStart"/>
            <w:r w:rsidRPr="00CE2C28">
              <w:rPr>
                <w:sz w:val="16"/>
              </w:rPr>
              <w:t>same</w:t>
            </w:r>
            <w:proofErr w:type="gramEnd"/>
            <w:r w:rsidRPr="00CE2C28">
              <w:rPr>
                <w:sz w:val="16"/>
              </w:rPr>
              <w:t xml:space="preserve"> week for at least 9/12 or 20/26 weeks of treatment period. Weeks not have to be consecutive. (Weeks 1-12) 5.0% placebo vs. 18.0% linaclotide (NNT = 7.7). (Weeks 1-26) 3.5% placebo vs. 15.7% linaclotide (NNT = 8.2).</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Decrease of ≥ 30% from baseline in average abdominal pain score, ≥ 3 CSBMs and increase of ≥ 1 CSBM from baseline during particular week for at least 9/12 or 20/26 weeks of treatment period. (Weeks 1-12) 3.0% placebo vs. 12.7% linaclotide (NNT = 10.3). (Weeks 1-26) 2.5% vs. 12.0% linaclotide (NNT = 10.5)</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Secondary endpoint: : SBM frequency after 12 weeks compared to baseline: 1.3 placebo vs. 4.0 linaclotide</w:t>
            </w:r>
          </w:p>
          <w:p w:rsidR="009A1743" w:rsidRPr="00CE2C28" w:rsidRDefault="009A1743" w:rsidP="009A1743">
            <w:pPr>
              <w:pStyle w:val="Table"/>
              <w:rPr>
                <w:sz w:val="16"/>
              </w:rPr>
            </w:pPr>
          </w:p>
          <w:p w:rsidR="008547E2" w:rsidRPr="00CE2C28" w:rsidRDefault="009A1743" w:rsidP="009A1743">
            <w:pPr>
              <w:pStyle w:val="Table"/>
              <w:rPr>
                <w:sz w:val="16"/>
              </w:rPr>
            </w:pPr>
            <w:r w:rsidRPr="00CE2C28">
              <w:rPr>
                <w:sz w:val="16"/>
              </w:rPr>
              <w:t>Percentage of patients reporting adequate relief of IBS symptoms for at least 75% of the weeks (9/12 or 20/26): 17.6% placebo vs. 41.9% linaclotide</w:t>
            </w:r>
          </w:p>
        </w:tc>
        <w:tc>
          <w:tcPr>
            <w:tcW w:w="579"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No deaths</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Patients with at least 1 TEAE 56.6% placebo vs. 65.4 linaclotide</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Diarrhea 2.5% placebo vs. 19.7% linaclotide</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Flatulence 2.2% placebo vs. 3.7% linaclotide</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Viral gastroenteritis 2.2% placebo vs. 3.7% linaclotide</w:t>
            </w:r>
          </w:p>
          <w:p w:rsidR="009A1743" w:rsidRPr="00CE2C28" w:rsidRDefault="009A1743" w:rsidP="009A1743">
            <w:pPr>
              <w:pStyle w:val="Table"/>
              <w:rPr>
                <w:sz w:val="16"/>
              </w:rPr>
            </w:pPr>
          </w:p>
          <w:p w:rsidR="009A1743" w:rsidRPr="00CE2C28" w:rsidRDefault="009A1743" w:rsidP="009A1743">
            <w:pPr>
              <w:pStyle w:val="Table"/>
              <w:rPr>
                <w:sz w:val="16"/>
              </w:rPr>
            </w:pPr>
            <w:proofErr w:type="spellStart"/>
            <w:r w:rsidRPr="00CE2C28">
              <w:rPr>
                <w:sz w:val="16"/>
              </w:rPr>
              <w:t>Fatige</w:t>
            </w:r>
            <w:proofErr w:type="spellEnd"/>
            <w:r w:rsidRPr="00CE2C28">
              <w:rPr>
                <w:sz w:val="16"/>
              </w:rPr>
              <w:t xml:space="preserve"> 1% placebo vs. 2% linaclotide</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Sinus congestion 1% placebo vs. 2% linaclotide</w:t>
            </w:r>
          </w:p>
          <w:p w:rsidR="008547E2" w:rsidRPr="00CE2C28" w:rsidRDefault="008547E2" w:rsidP="00F914D6">
            <w:pPr>
              <w:pStyle w:val="Table"/>
              <w:rPr>
                <w:sz w:val="16"/>
              </w:rPr>
            </w:pPr>
          </w:p>
        </w:tc>
        <w:tc>
          <w:tcPr>
            <w:tcW w:w="689" w:type="pct"/>
            <w:tcBorders>
              <w:top w:val="single" w:sz="6" w:space="0" w:color="808080"/>
              <w:bottom w:val="single" w:sz="6" w:space="0" w:color="808080"/>
            </w:tcBorders>
          </w:tcPr>
          <w:p w:rsidR="009A1743" w:rsidRPr="00CE2C28" w:rsidRDefault="009A1743" w:rsidP="009A1743">
            <w:pPr>
              <w:pStyle w:val="Table"/>
              <w:rPr>
                <w:sz w:val="16"/>
              </w:rPr>
            </w:pPr>
            <w:r w:rsidRPr="00CE2C28">
              <w:rPr>
                <w:sz w:val="16"/>
              </w:rPr>
              <w:t>Linaclotide treatment resulted significantly greater percentages of patients who experienced improvements in abdominal and bowel symptoms compared with placebo treatment</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Effects of linaclotide on abdominal and bowel symptoms appeared within first week of treatment and sustained over entire 26-week treatment period</w:t>
            </w:r>
          </w:p>
          <w:p w:rsidR="009A1743" w:rsidRPr="00CE2C28" w:rsidRDefault="009A1743" w:rsidP="009A1743">
            <w:pPr>
              <w:pStyle w:val="Table"/>
              <w:rPr>
                <w:sz w:val="16"/>
              </w:rPr>
            </w:pPr>
          </w:p>
          <w:p w:rsidR="009A1743" w:rsidRPr="00CE2C28" w:rsidRDefault="009A1743" w:rsidP="009A1743">
            <w:pPr>
              <w:pStyle w:val="Table"/>
              <w:rPr>
                <w:sz w:val="16"/>
              </w:rPr>
            </w:pPr>
            <w:r w:rsidRPr="00CE2C28">
              <w:rPr>
                <w:sz w:val="16"/>
              </w:rPr>
              <w:t>90% of reported diarrhea events were mild or moderate in severity and only 4.5% of linaclotide-treated patients discontinued treatment due to diarrhea. 28% of patients reporting diarrhea experienced this AE on the first day of therapy and 76% within first 4 weeks of treatment.</w:t>
            </w:r>
          </w:p>
          <w:p w:rsidR="009A1743" w:rsidRPr="00CE2C28" w:rsidRDefault="009A1743" w:rsidP="009A1743">
            <w:pPr>
              <w:pStyle w:val="Table"/>
              <w:rPr>
                <w:sz w:val="16"/>
              </w:rPr>
            </w:pPr>
          </w:p>
          <w:p w:rsidR="008547E2" w:rsidRPr="00CE2C28" w:rsidRDefault="009A1743" w:rsidP="00F914D6">
            <w:pPr>
              <w:pStyle w:val="Table"/>
              <w:rPr>
                <w:sz w:val="16"/>
              </w:rPr>
            </w:pPr>
            <w:proofErr w:type="spellStart"/>
            <w:r w:rsidRPr="00CE2C28">
              <w:rPr>
                <w:sz w:val="16"/>
              </w:rPr>
              <w:t>Jadad</w:t>
            </w:r>
            <w:proofErr w:type="spellEnd"/>
            <w:r w:rsidRPr="00CE2C28">
              <w:rPr>
                <w:sz w:val="16"/>
              </w:rPr>
              <w:t xml:space="preserve"> Quality Rating: 5</w:t>
            </w:r>
          </w:p>
        </w:tc>
      </w:tr>
    </w:tbl>
    <w:p w:rsidR="00F4177B" w:rsidRDefault="00F4177B" w:rsidP="00DF1FFC">
      <w:pPr>
        <w:jc w:val="center"/>
        <w:rPr>
          <w:sz w:val="20"/>
        </w:rPr>
      </w:pPr>
    </w:p>
    <w:sectPr w:rsidR="00F4177B" w:rsidSect="00DF1FFC">
      <w:headerReference w:type="even" r:id="rId13"/>
      <w:headerReference w:type="default" r:id="rId14"/>
      <w:footerReference w:type="default" r:id="rId15"/>
      <w:headerReference w:type="first" r:id="rId16"/>
      <w:pgSz w:w="15840" w:h="12240" w:orient="landscape" w:code="1"/>
      <w:pgMar w:top="1800" w:right="1440" w:bottom="1800" w:left="1440" w:header="720" w:footer="6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FC" w:rsidRDefault="00DF1FFC">
      <w:r>
        <w:separator/>
      </w:r>
    </w:p>
  </w:endnote>
  <w:endnote w:type="continuationSeparator" w:id="0">
    <w:p w:rsidR="00DF1FFC" w:rsidRDefault="00DF1FFC">
      <w:r>
        <w:continuationSeparator/>
      </w:r>
    </w:p>
  </w:endnote>
  <w:endnote w:id="1">
    <w:p w:rsidR="00DF1FFC" w:rsidRDefault="00DF1FFC">
      <w:pPr>
        <w:pStyle w:val="EndnoteText"/>
      </w:pPr>
      <w:r>
        <w:rPr>
          <w:rStyle w:val="EndnoteReference"/>
        </w:rPr>
        <w:endnoteRef/>
      </w:r>
      <w:r>
        <w:t xml:space="preserve"> </w:t>
      </w:r>
      <w:r w:rsidRPr="00386B85">
        <w:rPr>
          <w:rFonts w:cs="Arial"/>
          <w:sz w:val="19"/>
          <w:szCs w:val="19"/>
        </w:rPr>
        <w:t xml:space="preserve">Product Information: LINZESS(TM) oral capsules, linaclotide oral capsules. </w:t>
      </w:r>
      <w:proofErr w:type="gramStart"/>
      <w:r w:rsidRPr="00386B85">
        <w:rPr>
          <w:rFonts w:cs="Arial"/>
          <w:sz w:val="19"/>
          <w:szCs w:val="19"/>
        </w:rPr>
        <w:t>Forest Pharmaceuticals, Inc. (per FDA), St. Louis, MO, 2012.</w:t>
      </w:r>
      <w:proofErr w:type="gramEnd"/>
    </w:p>
  </w:endnote>
  <w:endnote w:id="2">
    <w:p w:rsidR="00DF1FFC" w:rsidRDefault="00DF1FFC" w:rsidP="00FA52B6">
      <w:pPr>
        <w:pStyle w:val="Table"/>
      </w:pPr>
      <w:r>
        <w:rPr>
          <w:rStyle w:val="EndnoteReference"/>
        </w:rPr>
        <w:endnoteRef/>
      </w:r>
      <w:r>
        <w:t xml:space="preserve"> </w:t>
      </w:r>
      <w:proofErr w:type="spellStart"/>
      <w:r w:rsidRPr="00FA52B6">
        <w:rPr>
          <w:rFonts w:ascii="Times New Roman" w:hAnsi="Times New Roman" w:cs="Arial"/>
          <w:color w:val="auto"/>
          <w:sz w:val="19"/>
          <w:szCs w:val="19"/>
        </w:rPr>
        <w:t>Lembo</w:t>
      </w:r>
      <w:proofErr w:type="spellEnd"/>
      <w:r w:rsidRPr="00FA52B6">
        <w:rPr>
          <w:rFonts w:ascii="Times New Roman" w:hAnsi="Times New Roman" w:cs="Arial"/>
          <w:color w:val="auto"/>
          <w:sz w:val="19"/>
          <w:szCs w:val="19"/>
        </w:rPr>
        <w:t xml:space="preserve"> A., et al. </w:t>
      </w:r>
      <w:proofErr w:type="gramStart"/>
      <w:r w:rsidRPr="00FA52B6">
        <w:rPr>
          <w:rFonts w:ascii="Times New Roman" w:hAnsi="Times New Roman" w:cs="Arial"/>
          <w:color w:val="auto"/>
          <w:sz w:val="19"/>
          <w:szCs w:val="19"/>
        </w:rPr>
        <w:t>Two Randomized Trials of Linaclotide for Chronic Constipation.</w:t>
      </w:r>
      <w:proofErr w:type="gramEnd"/>
      <w:r w:rsidRPr="00FA52B6">
        <w:rPr>
          <w:rFonts w:ascii="Times New Roman" w:hAnsi="Times New Roman" w:cs="Arial"/>
          <w:color w:val="auto"/>
          <w:sz w:val="19"/>
          <w:szCs w:val="19"/>
        </w:rPr>
        <w:t xml:space="preserve">  The New England Journal of Medicine 2011; 365: 527-536.</w:t>
      </w:r>
      <w:r>
        <w:t xml:space="preserve"> </w:t>
      </w:r>
    </w:p>
  </w:endnote>
  <w:endnote w:id="3">
    <w:p w:rsidR="00DF1FFC" w:rsidRDefault="00DF1FFC" w:rsidP="00FA52B6">
      <w:pPr>
        <w:pStyle w:val="Table"/>
      </w:pPr>
      <w:r>
        <w:rPr>
          <w:rStyle w:val="EndnoteReference"/>
        </w:rPr>
        <w:endnoteRef/>
      </w:r>
      <w:r>
        <w:t xml:space="preserve"> </w:t>
      </w:r>
      <w:proofErr w:type="spellStart"/>
      <w:r w:rsidRPr="00FA52B6">
        <w:rPr>
          <w:rFonts w:ascii="Times New Roman" w:hAnsi="Times New Roman" w:cs="Arial"/>
          <w:color w:val="auto"/>
          <w:sz w:val="19"/>
          <w:szCs w:val="19"/>
        </w:rPr>
        <w:t>Chey</w:t>
      </w:r>
      <w:proofErr w:type="spellEnd"/>
      <w:r w:rsidRPr="00FA52B6">
        <w:rPr>
          <w:rFonts w:ascii="Times New Roman" w:hAnsi="Times New Roman" w:cs="Arial"/>
          <w:color w:val="auto"/>
          <w:sz w:val="19"/>
          <w:szCs w:val="19"/>
        </w:rPr>
        <w:t xml:space="preserve"> W., et al.  Linaclotide for Irritable Bowel Syndrome </w:t>
      </w:r>
      <w:proofErr w:type="gramStart"/>
      <w:r w:rsidRPr="00FA52B6">
        <w:rPr>
          <w:rFonts w:ascii="Times New Roman" w:hAnsi="Times New Roman" w:cs="Arial"/>
          <w:color w:val="auto"/>
          <w:sz w:val="19"/>
          <w:szCs w:val="19"/>
        </w:rPr>
        <w:t>With</w:t>
      </w:r>
      <w:proofErr w:type="gramEnd"/>
      <w:r w:rsidRPr="00FA52B6">
        <w:rPr>
          <w:rFonts w:ascii="Times New Roman" w:hAnsi="Times New Roman" w:cs="Arial"/>
          <w:color w:val="auto"/>
          <w:sz w:val="19"/>
          <w:szCs w:val="19"/>
        </w:rPr>
        <w:t xml:space="preserve"> Constipation: A 26-Week, Randomized Double-blind, Placebo-Controlled Trial to Evaluate Efficacy and Safety.  The American Journal of Gastroenterology 2012; 107: 1702-1712.</w:t>
      </w:r>
    </w:p>
  </w:endnote>
  <w:endnote w:id="4">
    <w:p w:rsidR="00DF1FFC" w:rsidRDefault="00DF1FFC" w:rsidP="00AB48BE">
      <w:r>
        <w:rPr>
          <w:rStyle w:val="EndnoteReference"/>
        </w:rPr>
        <w:endnoteRef/>
      </w:r>
      <w:r>
        <w:t xml:space="preserve"> </w:t>
      </w:r>
      <w:r w:rsidRPr="00AB48BE">
        <w:rPr>
          <w:rFonts w:cs="Arial"/>
          <w:sz w:val="19"/>
          <w:szCs w:val="19"/>
        </w:rPr>
        <w:t xml:space="preserve">Ford AC, </w:t>
      </w:r>
      <w:proofErr w:type="spellStart"/>
      <w:r w:rsidRPr="00AB48BE">
        <w:rPr>
          <w:rFonts w:cs="Arial"/>
          <w:sz w:val="19"/>
          <w:szCs w:val="19"/>
        </w:rPr>
        <w:t>Suares</w:t>
      </w:r>
      <w:proofErr w:type="spellEnd"/>
      <w:r w:rsidRPr="00AB48BE">
        <w:rPr>
          <w:rFonts w:cs="Arial"/>
          <w:sz w:val="19"/>
          <w:szCs w:val="19"/>
        </w:rPr>
        <w:t xml:space="preserve"> NC. Effect of laxatives and pharmacological therapies in chronic idiopathic constipation: systematic review and meta-analysis. Gut 2011</w:t>
      </w:r>
      <w:proofErr w:type="gramStart"/>
      <w:r w:rsidRPr="00AB48BE">
        <w:rPr>
          <w:rFonts w:cs="Arial"/>
          <w:sz w:val="19"/>
          <w:szCs w:val="19"/>
        </w:rPr>
        <w:t>;60:209</w:t>
      </w:r>
      <w:proofErr w:type="gramEnd"/>
      <w:r w:rsidRPr="00AB48BE">
        <w:rPr>
          <w:rFonts w:cs="Arial"/>
          <w:sz w:val="19"/>
          <w:szCs w:val="19"/>
        </w:rPr>
        <w:t>-18.</w:t>
      </w:r>
    </w:p>
  </w:endnote>
  <w:endnote w:id="5">
    <w:p w:rsidR="00DF1FFC" w:rsidRDefault="00DF1FFC">
      <w:pPr>
        <w:pStyle w:val="EndnoteText"/>
      </w:pPr>
      <w:r>
        <w:rPr>
          <w:rStyle w:val="EndnoteReference"/>
        </w:rPr>
        <w:endnoteRef/>
      </w:r>
      <w:r>
        <w:t xml:space="preserve"> </w:t>
      </w:r>
      <w:r w:rsidRPr="004A6E4E">
        <w:rPr>
          <w:rFonts w:cs="Arial"/>
          <w:sz w:val="19"/>
          <w:szCs w:val="19"/>
        </w:rPr>
        <w:t xml:space="preserve">Rao S, </w:t>
      </w:r>
      <w:proofErr w:type="spellStart"/>
      <w:r w:rsidRPr="004A6E4E">
        <w:rPr>
          <w:rFonts w:cs="Arial"/>
          <w:sz w:val="19"/>
          <w:szCs w:val="19"/>
        </w:rPr>
        <w:t>Lembo</w:t>
      </w:r>
      <w:proofErr w:type="spellEnd"/>
      <w:r w:rsidRPr="004A6E4E">
        <w:rPr>
          <w:rFonts w:cs="Arial"/>
          <w:sz w:val="19"/>
          <w:szCs w:val="19"/>
        </w:rPr>
        <w:t xml:space="preserve"> AJ, </w:t>
      </w:r>
      <w:proofErr w:type="spellStart"/>
      <w:r w:rsidRPr="004A6E4E">
        <w:rPr>
          <w:rFonts w:cs="Arial"/>
          <w:sz w:val="19"/>
          <w:szCs w:val="19"/>
        </w:rPr>
        <w:t>Shiff</w:t>
      </w:r>
      <w:proofErr w:type="spellEnd"/>
      <w:r w:rsidRPr="004A6E4E">
        <w:rPr>
          <w:rFonts w:cs="Arial"/>
          <w:sz w:val="19"/>
          <w:szCs w:val="19"/>
        </w:rPr>
        <w:t xml:space="preserve"> SJ, </w:t>
      </w:r>
      <w:proofErr w:type="spellStart"/>
      <w:r w:rsidRPr="004A6E4E">
        <w:rPr>
          <w:rFonts w:cs="Arial"/>
          <w:sz w:val="19"/>
          <w:szCs w:val="19"/>
        </w:rPr>
        <w:t>Lavins</w:t>
      </w:r>
      <w:proofErr w:type="spellEnd"/>
      <w:r w:rsidRPr="004A6E4E">
        <w:rPr>
          <w:rFonts w:cs="Arial"/>
          <w:sz w:val="19"/>
          <w:szCs w:val="19"/>
        </w:rPr>
        <w:t xml:space="preserve"> BJ, et al. A 12-week, randomized, controlled trial with a 4-week randomized withdrawal period to evaluate the efficacy and safety of linaclotide in irritable bowel syndrome with constipation. Am J </w:t>
      </w:r>
      <w:proofErr w:type="spellStart"/>
      <w:r w:rsidRPr="004A6E4E">
        <w:rPr>
          <w:rFonts w:cs="Arial"/>
          <w:sz w:val="19"/>
          <w:szCs w:val="19"/>
        </w:rPr>
        <w:t>Gastroenterol</w:t>
      </w:r>
      <w:proofErr w:type="spellEnd"/>
      <w:r w:rsidRPr="004A6E4E">
        <w:rPr>
          <w:rFonts w:cs="Arial"/>
          <w:sz w:val="19"/>
          <w:szCs w:val="19"/>
        </w:rPr>
        <w:t xml:space="preserve"> 2012</w:t>
      </w:r>
      <w:proofErr w:type="gramStart"/>
      <w:r w:rsidRPr="004A6E4E">
        <w:rPr>
          <w:rFonts w:cs="Arial"/>
          <w:sz w:val="19"/>
          <w:szCs w:val="19"/>
        </w:rPr>
        <w:t>;107:1714</w:t>
      </w:r>
      <w:proofErr w:type="gramEnd"/>
      <w:r w:rsidRPr="004A6E4E">
        <w:rPr>
          <w:rFonts w:cs="Arial"/>
          <w:sz w:val="19"/>
          <w:szCs w:val="19"/>
        </w:rPr>
        <w:t>-24.</w:t>
      </w:r>
    </w:p>
  </w:endnote>
  <w:endnote w:id="6">
    <w:p w:rsidR="00DF1FFC" w:rsidRPr="005B285E" w:rsidRDefault="00DF1FFC" w:rsidP="005B285E">
      <w:pPr>
        <w:pStyle w:val="Table"/>
        <w:rPr>
          <w:rFonts w:ascii="Times New Roman" w:hAnsi="Times New Roman" w:cs="Arial"/>
          <w:color w:val="auto"/>
          <w:sz w:val="19"/>
          <w:szCs w:val="19"/>
        </w:rPr>
      </w:pPr>
      <w:r>
        <w:rPr>
          <w:rStyle w:val="EndnoteReference"/>
        </w:rPr>
        <w:endnoteRef/>
      </w:r>
      <w:r>
        <w:t xml:space="preserve"> </w:t>
      </w:r>
      <w:proofErr w:type="spellStart"/>
      <w:proofErr w:type="gramStart"/>
      <w:r w:rsidRPr="005B285E">
        <w:rPr>
          <w:rFonts w:ascii="Times New Roman" w:hAnsi="Times New Roman" w:cs="Arial"/>
          <w:color w:val="auto"/>
          <w:sz w:val="19"/>
          <w:szCs w:val="19"/>
        </w:rPr>
        <w:t>Amitiza</w:t>
      </w:r>
      <w:proofErr w:type="spellEnd"/>
      <w:r w:rsidRPr="005B285E">
        <w:rPr>
          <w:rFonts w:ascii="Times New Roman" w:hAnsi="Times New Roman" w:cs="Arial"/>
          <w:color w:val="auto"/>
          <w:sz w:val="19"/>
          <w:szCs w:val="19"/>
        </w:rPr>
        <w:t xml:space="preserve"> [prescribing information].</w:t>
      </w:r>
      <w:proofErr w:type="gramEnd"/>
      <w:r w:rsidRPr="005B285E">
        <w:rPr>
          <w:rFonts w:ascii="Times New Roman" w:hAnsi="Times New Roman" w:cs="Arial"/>
          <w:color w:val="auto"/>
          <w:sz w:val="19"/>
          <w:szCs w:val="19"/>
        </w:rPr>
        <w:t xml:space="preserve"> Bethesda, MD: </w:t>
      </w:r>
      <w:proofErr w:type="spellStart"/>
      <w:r w:rsidRPr="005B285E">
        <w:rPr>
          <w:rFonts w:ascii="Times New Roman" w:hAnsi="Times New Roman" w:cs="Arial"/>
          <w:color w:val="auto"/>
          <w:sz w:val="19"/>
          <w:szCs w:val="19"/>
        </w:rPr>
        <w:t>Sucampo</w:t>
      </w:r>
      <w:proofErr w:type="spellEnd"/>
      <w:r w:rsidRPr="005B285E">
        <w:rPr>
          <w:rFonts w:ascii="Times New Roman" w:hAnsi="Times New Roman" w:cs="Arial"/>
          <w:color w:val="auto"/>
          <w:sz w:val="19"/>
          <w:szCs w:val="19"/>
        </w:rPr>
        <w:t xml:space="preserve"> </w:t>
      </w:r>
      <w:proofErr w:type="spellStart"/>
      <w:r w:rsidRPr="005B285E">
        <w:rPr>
          <w:rFonts w:ascii="Times New Roman" w:hAnsi="Times New Roman" w:cs="Arial"/>
          <w:color w:val="auto"/>
          <w:sz w:val="19"/>
          <w:szCs w:val="19"/>
        </w:rPr>
        <w:t>Pharma</w:t>
      </w:r>
      <w:proofErr w:type="spellEnd"/>
      <w:r w:rsidRPr="005B285E">
        <w:rPr>
          <w:rFonts w:ascii="Times New Roman" w:hAnsi="Times New Roman" w:cs="Arial"/>
          <w:color w:val="auto"/>
          <w:sz w:val="19"/>
          <w:szCs w:val="19"/>
        </w:rPr>
        <w:t xml:space="preserve"> Americas, Inc., and </w:t>
      </w:r>
    </w:p>
    <w:p w:rsidR="00DF1FFC" w:rsidRPr="005B285E" w:rsidRDefault="00DF1FFC" w:rsidP="005B285E">
      <w:pPr>
        <w:pStyle w:val="Table"/>
        <w:rPr>
          <w:rFonts w:ascii="Times New Roman" w:hAnsi="Times New Roman" w:cs="Arial"/>
          <w:color w:val="auto"/>
          <w:sz w:val="19"/>
          <w:szCs w:val="19"/>
        </w:rPr>
      </w:pPr>
      <w:r w:rsidRPr="005B285E">
        <w:rPr>
          <w:rFonts w:ascii="Times New Roman" w:hAnsi="Times New Roman" w:cs="Arial"/>
          <w:color w:val="auto"/>
          <w:sz w:val="19"/>
          <w:szCs w:val="19"/>
        </w:rPr>
        <w:t>Deerfield, IL: Takeda Pharmaceuticals America 2011 February</w:t>
      </w:r>
    </w:p>
    <w:p w:rsidR="00DF1FFC" w:rsidRDefault="00DF1F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6949"/>
      <w:gridCol w:w="269"/>
      <w:gridCol w:w="1638"/>
    </w:tblGrid>
    <w:tr w:rsidR="00DF1FFC">
      <w:tc>
        <w:tcPr>
          <w:tcW w:w="3923" w:type="pct"/>
        </w:tcPr>
        <w:p w:rsidR="00DF1FFC" w:rsidRDefault="00DF1FFC">
          <w:pPr>
            <w:pStyle w:val="Footer"/>
          </w:pPr>
        </w:p>
      </w:tc>
      <w:tc>
        <w:tcPr>
          <w:tcW w:w="152" w:type="pct"/>
        </w:tcPr>
        <w:p w:rsidR="00DF1FFC" w:rsidRDefault="00DF1FFC">
          <w:pPr>
            <w:pStyle w:val="Footer"/>
          </w:pPr>
        </w:p>
      </w:tc>
      <w:tc>
        <w:tcPr>
          <w:tcW w:w="925" w:type="pct"/>
        </w:tcPr>
        <w:p w:rsidR="00DF1FFC" w:rsidRDefault="00DF1FFC">
          <w:pPr>
            <w:pStyle w:val="Footer"/>
            <w:jc w:val="right"/>
          </w:pPr>
        </w:p>
      </w:tc>
    </w:tr>
    <w:tr w:rsidR="00DF1FFC">
      <w:tc>
        <w:tcPr>
          <w:tcW w:w="3923" w:type="pct"/>
        </w:tcPr>
        <w:p w:rsidR="00DF1FFC" w:rsidRDefault="00DF1FFC" w:rsidP="003761BC">
          <w:pPr>
            <w:pStyle w:val="Footer"/>
            <w:rPr>
              <w:i/>
              <w:iCs/>
            </w:rPr>
          </w:pPr>
          <w:r>
            <w:rPr>
              <w:i/>
              <w:iCs/>
            </w:rPr>
            <w:t xml:space="preserve">Updated version may be found at </w:t>
          </w:r>
          <w:hyperlink r:id="rId1" w:history="1">
            <w:r w:rsidRPr="00C449BC">
              <w:rPr>
                <w:rStyle w:val="Hyperlink"/>
                <w:i/>
                <w:iCs/>
              </w:rPr>
              <w:t>www.pbm.va.gov</w:t>
            </w:r>
          </w:hyperlink>
          <w:r>
            <w:rPr>
              <w:i/>
              <w:iCs/>
            </w:rPr>
            <w:t xml:space="preserve"> or vaww.pbm.va.gov</w:t>
          </w:r>
        </w:p>
      </w:tc>
      <w:tc>
        <w:tcPr>
          <w:tcW w:w="152" w:type="pct"/>
        </w:tcPr>
        <w:p w:rsidR="00DF1FFC" w:rsidRDefault="00DF1FFC">
          <w:pPr>
            <w:pStyle w:val="Footer"/>
          </w:pPr>
        </w:p>
      </w:tc>
      <w:tc>
        <w:tcPr>
          <w:tcW w:w="925" w:type="pct"/>
        </w:tcPr>
        <w:p w:rsidR="00DF1FFC" w:rsidRDefault="00DF1FFC">
          <w:pPr>
            <w:pStyle w:val="Footer"/>
            <w:jc w:val="right"/>
          </w:pPr>
          <w:r>
            <w:rPr>
              <w:rStyle w:val="PageNumber"/>
            </w:rPr>
            <w:fldChar w:fldCharType="begin"/>
          </w:r>
          <w:r>
            <w:rPr>
              <w:rStyle w:val="PageNumber"/>
            </w:rPr>
            <w:instrText xml:space="preserve"> PAGE </w:instrText>
          </w:r>
          <w:r>
            <w:rPr>
              <w:rStyle w:val="PageNumber"/>
            </w:rPr>
            <w:fldChar w:fldCharType="separate"/>
          </w:r>
          <w:r w:rsidR="00CE2C28">
            <w:rPr>
              <w:rStyle w:val="PageNumber"/>
              <w:noProof/>
            </w:rPr>
            <w:t>2</w:t>
          </w:r>
          <w:r>
            <w:rPr>
              <w:rStyle w:val="PageNumber"/>
            </w:rPr>
            <w:fldChar w:fldCharType="end"/>
          </w:r>
        </w:p>
      </w:tc>
    </w:tr>
  </w:tbl>
  <w:p w:rsidR="00DF1FFC" w:rsidRDefault="00DF1FFC" w:rsidP="00DF1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10337"/>
      <w:gridCol w:w="401"/>
      <w:gridCol w:w="2438"/>
    </w:tblGrid>
    <w:tr w:rsidR="00DF1FFC">
      <w:tc>
        <w:tcPr>
          <w:tcW w:w="3923" w:type="pct"/>
        </w:tcPr>
        <w:p w:rsidR="00DF1FFC" w:rsidRDefault="00DF1FFC">
          <w:pPr>
            <w:pStyle w:val="Footer"/>
          </w:pPr>
        </w:p>
      </w:tc>
      <w:tc>
        <w:tcPr>
          <w:tcW w:w="152" w:type="pct"/>
        </w:tcPr>
        <w:p w:rsidR="00DF1FFC" w:rsidRDefault="00DF1FFC">
          <w:pPr>
            <w:pStyle w:val="Footer"/>
          </w:pPr>
        </w:p>
      </w:tc>
      <w:tc>
        <w:tcPr>
          <w:tcW w:w="925" w:type="pct"/>
        </w:tcPr>
        <w:p w:rsidR="00DF1FFC" w:rsidRDefault="00DF1FFC">
          <w:pPr>
            <w:pStyle w:val="Footer"/>
            <w:jc w:val="right"/>
          </w:pPr>
        </w:p>
      </w:tc>
    </w:tr>
    <w:tr w:rsidR="00DF1FFC">
      <w:tc>
        <w:tcPr>
          <w:tcW w:w="3923" w:type="pct"/>
        </w:tcPr>
        <w:p w:rsidR="00DF1FFC" w:rsidRDefault="00DF1FFC" w:rsidP="00651852">
          <w:pPr>
            <w:pStyle w:val="Footer"/>
            <w:rPr>
              <w:i/>
              <w:iCs/>
            </w:rPr>
          </w:pPr>
          <w:r>
            <w:rPr>
              <w:i/>
              <w:iCs/>
            </w:rPr>
            <w:t xml:space="preserve">Updated version may be found at </w:t>
          </w:r>
          <w:hyperlink r:id="rId1" w:history="1">
            <w:r w:rsidRPr="00DF64B7">
              <w:rPr>
                <w:rStyle w:val="Hyperlink"/>
                <w:i/>
                <w:iCs/>
              </w:rPr>
              <w:t>www.pbm.va.gov</w:t>
            </w:r>
          </w:hyperlink>
          <w:r>
            <w:rPr>
              <w:i/>
              <w:iCs/>
            </w:rPr>
            <w:t xml:space="preserve"> or vaww.pbm.va.gov</w:t>
          </w:r>
        </w:p>
      </w:tc>
      <w:tc>
        <w:tcPr>
          <w:tcW w:w="152" w:type="pct"/>
        </w:tcPr>
        <w:p w:rsidR="00DF1FFC" w:rsidRDefault="00DF1FFC">
          <w:pPr>
            <w:pStyle w:val="Footer"/>
          </w:pPr>
        </w:p>
      </w:tc>
      <w:tc>
        <w:tcPr>
          <w:tcW w:w="925" w:type="pct"/>
        </w:tcPr>
        <w:p w:rsidR="00DF1FFC" w:rsidRDefault="00DF1FFC">
          <w:pPr>
            <w:pStyle w:val="Footer"/>
            <w:jc w:val="right"/>
          </w:pPr>
          <w:r>
            <w:rPr>
              <w:rStyle w:val="PageNumber"/>
            </w:rPr>
            <w:fldChar w:fldCharType="begin"/>
          </w:r>
          <w:r>
            <w:rPr>
              <w:rStyle w:val="PageNumber"/>
            </w:rPr>
            <w:instrText xml:space="preserve"> PAGE </w:instrText>
          </w:r>
          <w:r>
            <w:rPr>
              <w:rStyle w:val="PageNumber"/>
            </w:rPr>
            <w:fldChar w:fldCharType="separate"/>
          </w:r>
          <w:r w:rsidR="00CE2C28">
            <w:rPr>
              <w:rStyle w:val="PageNumber"/>
              <w:noProof/>
            </w:rPr>
            <w:t>10</w:t>
          </w:r>
          <w:r>
            <w:rPr>
              <w:rStyle w:val="PageNumber"/>
            </w:rPr>
            <w:fldChar w:fldCharType="end"/>
          </w:r>
        </w:p>
      </w:tc>
    </w:tr>
  </w:tbl>
  <w:p w:rsidR="00DF1FFC" w:rsidRDefault="00DF1FFC" w:rsidP="00DF1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FC" w:rsidRDefault="00DF1FFC">
      <w:r>
        <w:separator/>
      </w:r>
    </w:p>
  </w:footnote>
  <w:footnote w:type="continuationSeparator" w:id="0">
    <w:p w:rsidR="00DF1FFC" w:rsidRDefault="00DF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678"/>
      <w:gridCol w:w="270"/>
      <w:gridCol w:w="1908"/>
    </w:tblGrid>
    <w:tr w:rsidR="00DF1FFC" w:rsidTr="000566E9">
      <w:tc>
        <w:tcPr>
          <w:tcW w:w="6678" w:type="dxa"/>
        </w:tcPr>
        <w:p w:rsidR="00DF1FFC" w:rsidRDefault="00DF1FFC" w:rsidP="009C0F2B">
          <w:pPr>
            <w:pStyle w:val="Header"/>
            <w:rPr>
              <w:b/>
              <w:bCs/>
              <w:sz w:val="16"/>
            </w:rPr>
          </w:pPr>
          <w:r>
            <w:rPr>
              <w:b/>
              <w:bCs/>
              <w:sz w:val="16"/>
            </w:rPr>
            <w:t xml:space="preserve"> </w:t>
          </w:r>
        </w:p>
      </w:tc>
      <w:tc>
        <w:tcPr>
          <w:tcW w:w="270" w:type="dxa"/>
        </w:tcPr>
        <w:p w:rsidR="00DF1FFC" w:rsidRDefault="00DF1FFC" w:rsidP="009C0F2B">
          <w:pPr>
            <w:pStyle w:val="Header"/>
          </w:pPr>
        </w:p>
      </w:tc>
      <w:tc>
        <w:tcPr>
          <w:tcW w:w="1908" w:type="dxa"/>
        </w:tcPr>
        <w:p w:rsidR="00DF1FFC" w:rsidRDefault="00DF1FFC" w:rsidP="009C0F2B">
          <w:pPr>
            <w:pStyle w:val="Header"/>
            <w:jc w:val="right"/>
            <w:rPr>
              <w:sz w:val="16"/>
            </w:rPr>
          </w:pPr>
          <w:r>
            <w:rPr>
              <w:i/>
              <w:iCs/>
              <w:sz w:val="16"/>
            </w:rPr>
            <w:t>Linaclotide Monograph</w:t>
          </w:r>
        </w:p>
      </w:tc>
    </w:tr>
  </w:tbl>
  <w:p w:rsidR="00DF1FFC" w:rsidRPr="00DF1FFC" w:rsidRDefault="00DF1FFC" w:rsidP="00DF1FFC">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FC" w:rsidRDefault="00DF1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8061"/>
      <w:gridCol w:w="403"/>
      <w:gridCol w:w="4712"/>
    </w:tblGrid>
    <w:tr w:rsidR="00DF1FFC" w:rsidTr="00D678D3">
      <w:tc>
        <w:tcPr>
          <w:tcW w:w="3059" w:type="pct"/>
        </w:tcPr>
        <w:p w:rsidR="00DF1FFC" w:rsidRDefault="00DF1FFC" w:rsidP="00BA4CAE">
          <w:pPr>
            <w:pStyle w:val="Header"/>
            <w:rPr>
              <w:b/>
              <w:bCs/>
              <w:sz w:val="16"/>
            </w:rPr>
          </w:pPr>
          <w:r>
            <w:rPr>
              <w:b/>
              <w:bCs/>
              <w:sz w:val="16"/>
            </w:rPr>
            <w:t xml:space="preserve"> </w:t>
          </w:r>
        </w:p>
      </w:tc>
      <w:tc>
        <w:tcPr>
          <w:tcW w:w="153" w:type="pct"/>
        </w:tcPr>
        <w:p w:rsidR="00DF1FFC" w:rsidRDefault="00DF1FFC">
          <w:pPr>
            <w:pStyle w:val="Header"/>
          </w:pPr>
        </w:p>
      </w:tc>
      <w:tc>
        <w:tcPr>
          <w:tcW w:w="1788" w:type="pct"/>
        </w:tcPr>
        <w:p w:rsidR="00DF1FFC" w:rsidRDefault="00DF1FFC">
          <w:pPr>
            <w:pStyle w:val="Header"/>
            <w:jc w:val="right"/>
            <w:rPr>
              <w:sz w:val="16"/>
            </w:rPr>
          </w:pPr>
          <w:r>
            <w:rPr>
              <w:i/>
              <w:iCs/>
              <w:sz w:val="16"/>
            </w:rPr>
            <w:t>Linaclotide Monograph</w:t>
          </w:r>
        </w:p>
      </w:tc>
    </w:tr>
  </w:tbl>
  <w:p w:rsidR="00DF1FFC" w:rsidRDefault="00DF1F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FC" w:rsidRDefault="00DF1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88A2B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6FE1E90"/>
    <w:lvl w:ilvl="0">
      <w:start w:val="1"/>
      <w:numFmt w:val="bullet"/>
      <w:lvlText w:val=""/>
      <w:lvlJc w:val="left"/>
      <w:pPr>
        <w:tabs>
          <w:tab w:val="num" w:pos="360"/>
        </w:tabs>
        <w:ind w:left="360" w:hanging="360"/>
      </w:pPr>
      <w:rPr>
        <w:rFonts w:ascii="Symbol" w:hAnsi="Symbol" w:hint="default"/>
      </w:rPr>
    </w:lvl>
  </w:abstractNum>
  <w:abstractNum w:abstractNumId="2">
    <w:nsid w:val="0685427B"/>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0B47533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D342CE3"/>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5">
    <w:nsid w:val="0FD91B41"/>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1C0C36B4"/>
    <w:multiLevelType w:val="hybridMultilevel"/>
    <w:tmpl w:val="A32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4317C"/>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8">
    <w:nsid w:val="29211763"/>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9">
    <w:nsid w:val="2AC87C5A"/>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10">
    <w:nsid w:val="2D7757D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2CB62A3"/>
    <w:multiLevelType w:val="hybridMultilevel"/>
    <w:tmpl w:val="C172CE6E"/>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7781E"/>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13">
    <w:nsid w:val="375C12B2"/>
    <w:multiLevelType w:val="hybridMultilevel"/>
    <w:tmpl w:val="83282A68"/>
    <w:lvl w:ilvl="0" w:tplc="61020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BD265C"/>
    <w:multiLevelType w:val="hybridMultilevel"/>
    <w:tmpl w:val="B19AE4F6"/>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C6C32"/>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16">
    <w:nsid w:val="40E1430B"/>
    <w:multiLevelType w:val="hybridMultilevel"/>
    <w:tmpl w:val="6B3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A78CA"/>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18">
    <w:nsid w:val="4E9868A7"/>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19">
    <w:nsid w:val="556B2658"/>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0">
    <w:nsid w:val="56FB22C3"/>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1">
    <w:nsid w:val="59640BAC"/>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22">
    <w:nsid w:val="5AE712E4"/>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23">
    <w:nsid w:val="62077700"/>
    <w:multiLevelType w:val="multilevel"/>
    <w:tmpl w:val="170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253CB"/>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25">
    <w:nsid w:val="69996530"/>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num w:numId="1">
    <w:abstractNumId w:val="5"/>
  </w:num>
  <w:num w:numId="2">
    <w:abstractNumId w:val="19"/>
  </w:num>
  <w:num w:numId="3">
    <w:abstractNumId w:val="24"/>
  </w:num>
  <w:num w:numId="4">
    <w:abstractNumId w:val="20"/>
  </w:num>
  <w:num w:numId="5">
    <w:abstractNumId w:val="17"/>
  </w:num>
  <w:num w:numId="6">
    <w:abstractNumId w:val="12"/>
  </w:num>
  <w:num w:numId="7">
    <w:abstractNumId w:val="22"/>
  </w:num>
  <w:num w:numId="8">
    <w:abstractNumId w:val="7"/>
  </w:num>
  <w:num w:numId="9">
    <w:abstractNumId w:val="4"/>
  </w:num>
  <w:num w:numId="10">
    <w:abstractNumId w:val="18"/>
  </w:num>
  <w:num w:numId="11">
    <w:abstractNumId w:val="9"/>
  </w:num>
  <w:num w:numId="12">
    <w:abstractNumId w:val="25"/>
  </w:num>
  <w:num w:numId="13">
    <w:abstractNumId w:val="15"/>
  </w:num>
  <w:num w:numId="14">
    <w:abstractNumId w:val="2"/>
  </w:num>
  <w:num w:numId="15">
    <w:abstractNumId w:val="8"/>
  </w:num>
  <w:num w:numId="16">
    <w:abstractNumId w:val="10"/>
  </w:num>
  <w:num w:numId="17">
    <w:abstractNumId w:val="3"/>
  </w:num>
  <w:num w:numId="18">
    <w:abstractNumId w:val="21"/>
  </w:num>
  <w:num w:numId="19">
    <w:abstractNumId w:val="13"/>
  </w:num>
  <w:num w:numId="20">
    <w:abstractNumId w:val="1"/>
  </w:num>
  <w:num w:numId="21">
    <w:abstractNumId w:val="0"/>
  </w:num>
  <w:num w:numId="22">
    <w:abstractNumId w:val="14"/>
  </w:num>
  <w:num w:numId="23">
    <w:abstractNumId w:val="11"/>
  </w:num>
  <w:num w:numId="2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Simple1"/>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F7"/>
    <w:rsid w:val="000020E4"/>
    <w:rsid w:val="000104B7"/>
    <w:rsid w:val="00020DBB"/>
    <w:rsid w:val="00054692"/>
    <w:rsid w:val="000566E9"/>
    <w:rsid w:val="00061111"/>
    <w:rsid w:val="000712E5"/>
    <w:rsid w:val="000730E6"/>
    <w:rsid w:val="00094550"/>
    <w:rsid w:val="000A2760"/>
    <w:rsid w:val="000C0D83"/>
    <w:rsid w:val="0010596C"/>
    <w:rsid w:val="001158DF"/>
    <w:rsid w:val="00132AE9"/>
    <w:rsid w:val="0014063C"/>
    <w:rsid w:val="00145E20"/>
    <w:rsid w:val="00153955"/>
    <w:rsid w:val="00166202"/>
    <w:rsid w:val="00172DEC"/>
    <w:rsid w:val="0018463B"/>
    <w:rsid w:val="0018717A"/>
    <w:rsid w:val="001A3209"/>
    <w:rsid w:val="001B3205"/>
    <w:rsid w:val="001D39DA"/>
    <w:rsid w:val="0020089E"/>
    <w:rsid w:val="0020547E"/>
    <w:rsid w:val="00205764"/>
    <w:rsid w:val="002516F7"/>
    <w:rsid w:val="00251960"/>
    <w:rsid w:val="00275A2B"/>
    <w:rsid w:val="002B5B1D"/>
    <w:rsid w:val="002C6A69"/>
    <w:rsid w:val="002D0FE9"/>
    <w:rsid w:val="002D2FE0"/>
    <w:rsid w:val="002D622B"/>
    <w:rsid w:val="002E124F"/>
    <w:rsid w:val="002E3B55"/>
    <w:rsid w:val="002F3A43"/>
    <w:rsid w:val="00302A1E"/>
    <w:rsid w:val="00305237"/>
    <w:rsid w:val="00323DC6"/>
    <w:rsid w:val="003352AC"/>
    <w:rsid w:val="003761BC"/>
    <w:rsid w:val="0038158D"/>
    <w:rsid w:val="00386B85"/>
    <w:rsid w:val="003A559A"/>
    <w:rsid w:val="003B6CB2"/>
    <w:rsid w:val="003C24CD"/>
    <w:rsid w:val="003C3019"/>
    <w:rsid w:val="003C4333"/>
    <w:rsid w:val="003D09B2"/>
    <w:rsid w:val="003F6C07"/>
    <w:rsid w:val="003F7593"/>
    <w:rsid w:val="00422798"/>
    <w:rsid w:val="00453718"/>
    <w:rsid w:val="00473B0A"/>
    <w:rsid w:val="004A6E4E"/>
    <w:rsid w:val="004A7C05"/>
    <w:rsid w:val="004B3984"/>
    <w:rsid w:val="004B4AAF"/>
    <w:rsid w:val="004C7A4A"/>
    <w:rsid w:val="004D559C"/>
    <w:rsid w:val="004D7CA2"/>
    <w:rsid w:val="004F3CCC"/>
    <w:rsid w:val="00510B55"/>
    <w:rsid w:val="00521CFB"/>
    <w:rsid w:val="0053336C"/>
    <w:rsid w:val="00537E8D"/>
    <w:rsid w:val="005814E9"/>
    <w:rsid w:val="00582521"/>
    <w:rsid w:val="005953E1"/>
    <w:rsid w:val="005B285E"/>
    <w:rsid w:val="005D56F7"/>
    <w:rsid w:val="005E5627"/>
    <w:rsid w:val="005E57B1"/>
    <w:rsid w:val="005E7E6E"/>
    <w:rsid w:val="00600169"/>
    <w:rsid w:val="00601A01"/>
    <w:rsid w:val="006026D5"/>
    <w:rsid w:val="00651852"/>
    <w:rsid w:val="00677A4E"/>
    <w:rsid w:val="0068597C"/>
    <w:rsid w:val="00690C79"/>
    <w:rsid w:val="006970D2"/>
    <w:rsid w:val="006A6C66"/>
    <w:rsid w:val="006E3C12"/>
    <w:rsid w:val="006E5B44"/>
    <w:rsid w:val="00733605"/>
    <w:rsid w:val="00790C74"/>
    <w:rsid w:val="00792FC8"/>
    <w:rsid w:val="007B6399"/>
    <w:rsid w:val="007C0243"/>
    <w:rsid w:val="007C52B3"/>
    <w:rsid w:val="007D447A"/>
    <w:rsid w:val="007D4DEF"/>
    <w:rsid w:val="007D7473"/>
    <w:rsid w:val="008041A2"/>
    <w:rsid w:val="008125A9"/>
    <w:rsid w:val="008155A9"/>
    <w:rsid w:val="008160D8"/>
    <w:rsid w:val="00821DB6"/>
    <w:rsid w:val="0082402F"/>
    <w:rsid w:val="0083209E"/>
    <w:rsid w:val="008547E2"/>
    <w:rsid w:val="00856DCD"/>
    <w:rsid w:val="008726B9"/>
    <w:rsid w:val="008A47D4"/>
    <w:rsid w:val="008B133B"/>
    <w:rsid w:val="008C1111"/>
    <w:rsid w:val="008D41A6"/>
    <w:rsid w:val="008E2B7E"/>
    <w:rsid w:val="008E3B9C"/>
    <w:rsid w:val="008E41EB"/>
    <w:rsid w:val="00906FDB"/>
    <w:rsid w:val="00923613"/>
    <w:rsid w:val="009276AF"/>
    <w:rsid w:val="009278F4"/>
    <w:rsid w:val="00937B26"/>
    <w:rsid w:val="009771A6"/>
    <w:rsid w:val="009819CD"/>
    <w:rsid w:val="009A1743"/>
    <w:rsid w:val="009B1C50"/>
    <w:rsid w:val="009C0F2B"/>
    <w:rsid w:val="009C60E1"/>
    <w:rsid w:val="009E4E80"/>
    <w:rsid w:val="009E7E91"/>
    <w:rsid w:val="00A232B2"/>
    <w:rsid w:val="00A27ED2"/>
    <w:rsid w:val="00A30235"/>
    <w:rsid w:val="00A30AA5"/>
    <w:rsid w:val="00A41700"/>
    <w:rsid w:val="00A44606"/>
    <w:rsid w:val="00A44E82"/>
    <w:rsid w:val="00A71BD6"/>
    <w:rsid w:val="00A736D4"/>
    <w:rsid w:val="00A76569"/>
    <w:rsid w:val="00A80839"/>
    <w:rsid w:val="00A812EE"/>
    <w:rsid w:val="00A83453"/>
    <w:rsid w:val="00A943D4"/>
    <w:rsid w:val="00A97819"/>
    <w:rsid w:val="00AB48BE"/>
    <w:rsid w:val="00AB4C48"/>
    <w:rsid w:val="00AF100F"/>
    <w:rsid w:val="00B06205"/>
    <w:rsid w:val="00B179F1"/>
    <w:rsid w:val="00B25C78"/>
    <w:rsid w:val="00B42830"/>
    <w:rsid w:val="00B74F46"/>
    <w:rsid w:val="00B946D4"/>
    <w:rsid w:val="00B96CBC"/>
    <w:rsid w:val="00BA4CAE"/>
    <w:rsid w:val="00BA550F"/>
    <w:rsid w:val="00BB6362"/>
    <w:rsid w:val="00BB7B28"/>
    <w:rsid w:val="00BD3C94"/>
    <w:rsid w:val="00BD4F14"/>
    <w:rsid w:val="00BD69E6"/>
    <w:rsid w:val="00BE1E6B"/>
    <w:rsid w:val="00BF1B3A"/>
    <w:rsid w:val="00BF3C9B"/>
    <w:rsid w:val="00BF5009"/>
    <w:rsid w:val="00C0294D"/>
    <w:rsid w:val="00C06B3C"/>
    <w:rsid w:val="00C20B6A"/>
    <w:rsid w:val="00C47291"/>
    <w:rsid w:val="00C50269"/>
    <w:rsid w:val="00C720C4"/>
    <w:rsid w:val="00C81903"/>
    <w:rsid w:val="00C908F9"/>
    <w:rsid w:val="00C92AC9"/>
    <w:rsid w:val="00C9327F"/>
    <w:rsid w:val="00CA37CF"/>
    <w:rsid w:val="00CE2C28"/>
    <w:rsid w:val="00CE4350"/>
    <w:rsid w:val="00D1348F"/>
    <w:rsid w:val="00D31FB0"/>
    <w:rsid w:val="00D34068"/>
    <w:rsid w:val="00D436FA"/>
    <w:rsid w:val="00D456EE"/>
    <w:rsid w:val="00D511AD"/>
    <w:rsid w:val="00D611F9"/>
    <w:rsid w:val="00D62F30"/>
    <w:rsid w:val="00D646B3"/>
    <w:rsid w:val="00D678D3"/>
    <w:rsid w:val="00D80674"/>
    <w:rsid w:val="00D82074"/>
    <w:rsid w:val="00D902D6"/>
    <w:rsid w:val="00DA6B2E"/>
    <w:rsid w:val="00DB5971"/>
    <w:rsid w:val="00DD64C0"/>
    <w:rsid w:val="00DF1FFC"/>
    <w:rsid w:val="00E0443B"/>
    <w:rsid w:val="00E25C3D"/>
    <w:rsid w:val="00E47CFF"/>
    <w:rsid w:val="00E553E8"/>
    <w:rsid w:val="00E6791B"/>
    <w:rsid w:val="00E70433"/>
    <w:rsid w:val="00E711D2"/>
    <w:rsid w:val="00E87375"/>
    <w:rsid w:val="00E91949"/>
    <w:rsid w:val="00E94414"/>
    <w:rsid w:val="00E95D62"/>
    <w:rsid w:val="00EA356A"/>
    <w:rsid w:val="00EB3CD9"/>
    <w:rsid w:val="00EC2EEB"/>
    <w:rsid w:val="00ED78F3"/>
    <w:rsid w:val="00EF04B4"/>
    <w:rsid w:val="00F07B61"/>
    <w:rsid w:val="00F101C0"/>
    <w:rsid w:val="00F202F3"/>
    <w:rsid w:val="00F4177B"/>
    <w:rsid w:val="00F452D6"/>
    <w:rsid w:val="00F4599E"/>
    <w:rsid w:val="00F65446"/>
    <w:rsid w:val="00F84DF7"/>
    <w:rsid w:val="00F914D6"/>
    <w:rsid w:val="00FA52B6"/>
    <w:rsid w:val="00FB4C39"/>
    <w:rsid w:val="00FB69ED"/>
    <w:rsid w:val="00FC1473"/>
    <w:rsid w:val="00FC2386"/>
    <w:rsid w:val="00FC78FD"/>
    <w:rsid w:val="00FD1612"/>
    <w:rsid w:val="00FD6775"/>
    <w:rsid w:val="00FE78B9"/>
    <w:rsid w:val="00FF7656"/>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D3"/>
    <w:rPr>
      <w:sz w:val="22"/>
    </w:rPr>
  </w:style>
  <w:style w:type="paragraph" w:styleId="Heading1">
    <w:name w:val="heading 1"/>
    <w:basedOn w:val="Normal"/>
    <w:next w:val="Normal"/>
    <w:qFormat/>
    <w:rsid w:val="00510B55"/>
    <w:pPr>
      <w:keepNext/>
      <w:spacing w:before="120" w:after="12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rsid w:val="009771A6"/>
    <w:rPr>
      <w:color w:val="000000"/>
      <w:sz w:val="18"/>
    </w:rPr>
  </w:style>
  <w:style w:type="paragraph" w:styleId="ListBullet2">
    <w:name w:val="List Bullet 2"/>
    <w:basedOn w:val="Normal"/>
    <w:autoRedefine/>
    <w:rsid w:val="009E7E91"/>
    <w:pPr>
      <w:numPr>
        <w:numId w:val="21"/>
      </w:numPr>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style>
  <w:style w:type="paragraph" w:styleId="Caption">
    <w:name w:val="caption"/>
    <w:basedOn w:val="Normal"/>
    <w:next w:val="Normal"/>
    <w:qFormat/>
    <w:pPr>
      <w:keepNext/>
      <w:spacing w:before="120"/>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rsid w:val="009E4E80"/>
    <w:rPr>
      <w:color w:val="800080"/>
      <w:u w:val="single"/>
    </w:rPr>
  </w:style>
  <w:style w:type="paragraph" w:styleId="NormalWeb">
    <w:name w:val="Normal (Web)"/>
    <w:basedOn w:val="Normal"/>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rsid w:val="00A97819"/>
    <w:rPr>
      <w:vertAlign w:val="superscript"/>
    </w:rPr>
  </w:style>
  <w:style w:type="table" w:styleId="TableColumns4">
    <w:name w:val="Table Columns 4"/>
    <w:basedOn w:val="TableNormal"/>
    <w:rsid w:val="009771A6"/>
    <w:rPr>
      <w:rFonts w:ascii="Arial" w:hAnsi="Arial"/>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1">
    <w:name w:val="Table Simple 1"/>
    <w:basedOn w:val="TableNormal"/>
    <w:rsid w:val="00EC2EEB"/>
    <w:rPr>
      <w:rFonts w:ascii="Arial" w:hAnsi="Arial"/>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sz w:val="18"/>
      </w:rPr>
      <w:tblPr/>
      <w:tcPr>
        <w:tcBorders>
          <w:bottom w:val="single" w:sz="6" w:space="0" w:color="000000"/>
        </w:tcBorders>
        <w:shd w:val="clear" w:color="auto" w:fill="auto"/>
      </w:tcPr>
    </w:tblStylePr>
    <w:tblStylePr w:type="lastRow">
      <w:rPr>
        <w:rFonts w:ascii="Arial" w:hAnsi="Arial"/>
        <w:sz w:val="18"/>
      </w:rPr>
      <w:tblPr/>
      <w:tcPr>
        <w:tcBorders>
          <w:top w:val="nil"/>
        </w:tcBorders>
        <w:shd w:val="clear" w:color="auto" w:fill="auto"/>
      </w:tcPr>
    </w:tblStylePr>
  </w:style>
  <w:style w:type="paragraph" w:styleId="NoSpacing">
    <w:name w:val="No Spacing"/>
    <w:basedOn w:val="Normal"/>
    <w:uiPriority w:val="1"/>
    <w:qFormat/>
    <w:rsid w:val="00020DBB"/>
    <w:rPr>
      <w:rFonts w:ascii="Calibri" w:eastAsia="Calibri" w:hAnsi="Calibri"/>
      <w:szCs w:val="22"/>
    </w:rPr>
  </w:style>
  <w:style w:type="table" w:styleId="TableGrid">
    <w:name w:val="Table Grid"/>
    <w:basedOn w:val="TableNormal"/>
    <w:uiPriority w:val="59"/>
    <w:rsid w:val="001158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B69ED"/>
    <w:rPr>
      <w:sz w:val="16"/>
      <w:szCs w:val="16"/>
    </w:rPr>
  </w:style>
  <w:style w:type="paragraph" w:styleId="CommentText">
    <w:name w:val="annotation text"/>
    <w:basedOn w:val="Normal"/>
    <w:link w:val="CommentTextChar"/>
    <w:rsid w:val="00FB69ED"/>
    <w:rPr>
      <w:sz w:val="20"/>
    </w:rPr>
  </w:style>
  <w:style w:type="character" w:customStyle="1" w:styleId="CommentTextChar">
    <w:name w:val="Comment Text Char"/>
    <w:basedOn w:val="DefaultParagraphFont"/>
    <w:link w:val="CommentText"/>
    <w:rsid w:val="00FB69ED"/>
  </w:style>
  <w:style w:type="paragraph" w:styleId="CommentSubject">
    <w:name w:val="annotation subject"/>
    <w:basedOn w:val="CommentText"/>
    <w:next w:val="CommentText"/>
    <w:link w:val="CommentSubjectChar"/>
    <w:rsid w:val="00FB69ED"/>
    <w:rPr>
      <w:b/>
      <w:bCs/>
    </w:rPr>
  </w:style>
  <w:style w:type="character" w:customStyle="1" w:styleId="CommentSubjectChar">
    <w:name w:val="Comment Subject Char"/>
    <w:basedOn w:val="CommentTextChar"/>
    <w:link w:val="CommentSubject"/>
    <w:rsid w:val="00FB69ED"/>
    <w:rPr>
      <w:b/>
      <w:bCs/>
    </w:rPr>
  </w:style>
  <w:style w:type="paragraph" w:styleId="Revision">
    <w:name w:val="Revision"/>
    <w:hidden/>
    <w:uiPriority w:val="99"/>
    <w:semiHidden/>
    <w:rsid w:val="00FB69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D3"/>
    <w:rPr>
      <w:sz w:val="22"/>
    </w:rPr>
  </w:style>
  <w:style w:type="paragraph" w:styleId="Heading1">
    <w:name w:val="heading 1"/>
    <w:basedOn w:val="Normal"/>
    <w:next w:val="Normal"/>
    <w:qFormat/>
    <w:rsid w:val="00510B55"/>
    <w:pPr>
      <w:keepNext/>
      <w:spacing w:before="120" w:after="12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rsid w:val="009771A6"/>
    <w:rPr>
      <w:color w:val="000000"/>
      <w:sz w:val="18"/>
    </w:rPr>
  </w:style>
  <w:style w:type="paragraph" w:styleId="ListBullet2">
    <w:name w:val="List Bullet 2"/>
    <w:basedOn w:val="Normal"/>
    <w:autoRedefine/>
    <w:rsid w:val="009E7E91"/>
    <w:pPr>
      <w:numPr>
        <w:numId w:val="21"/>
      </w:numPr>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style>
  <w:style w:type="paragraph" w:styleId="Caption">
    <w:name w:val="caption"/>
    <w:basedOn w:val="Normal"/>
    <w:next w:val="Normal"/>
    <w:qFormat/>
    <w:pPr>
      <w:keepNext/>
      <w:spacing w:before="120"/>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rsid w:val="009E4E80"/>
    <w:rPr>
      <w:color w:val="800080"/>
      <w:u w:val="single"/>
    </w:rPr>
  </w:style>
  <w:style w:type="paragraph" w:styleId="NormalWeb">
    <w:name w:val="Normal (Web)"/>
    <w:basedOn w:val="Normal"/>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rsid w:val="00A97819"/>
    <w:rPr>
      <w:vertAlign w:val="superscript"/>
    </w:rPr>
  </w:style>
  <w:style w:type="table" w:styleId="TableColumns4">
    <w:name w:val="Table Columns 4"/>
    <w:basedOn w:val="TableNormal"/>
    <w:rsid w:val="009771A6"/>
    <w:rPr>
      <w:rFonts w:ascii="Arial" w:hAnsi="Arial"/>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1">
    <w:name w:val="Table Simple 1"/>
    <w:basedOn w:val="TableNormal"/>
    <w:rsid w:val="00EC2EEB"/>
    <w:rPr>
      <w:rFonts w:ascii="Arial" w:hAnsi="Arial"/>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sz w:val="18"/>
      </w:rPr>
      <w:tblPr/>
      <w:tcPr>
        <w:tcBorders>
          <w:bottom w:val="single" w:sz="6" w:space="0" w:color="000000"/>
        </w:tcBorders>
        <w:shd w:val="clear" w:color="auto" w:fill="auto"/>
      </w:tcPr>
    </w:tblStylePr>
    <w:tblStylePr w:type="lastRow">
      <w:rPr>
        <w:rFonts w:ascii="Arial" w:hAnsi="Arial"/>
        <w:sz w:val="18"/>
      </w:rPr>
      <w:tblPr/>
      <w:tcPr>
        <w:tcBorders>
          <w:top w:val="nil"/>
        </w:tcBorders>
        <w:shd w:val="clear" w:color="auto" w:fill="auto"/>
      </w:tcPr>
    </w:tblStylePr>
  </w:style>
  <w:style w:type="paragraph" w:styleId="NoSpacing">
    <w:name w:val="No Spacing"/>
    <w:basedOn w:val="Normal"/>
    <w:uiPriority w:val="1"/>
    <w:qFormat/>
    <w:rsid w:val="00020DBB"/>
    <w:rPr>
      <w:rFonts w:ascii="Calibri" w:eastAsia="Calibri" w:hAnsi="Calibri"/>
      <w:szCs w:val="22"/>
    </w:rPr>
  </w:style>
  <w:style w:type="table" w:styleId="TableGrid">
    <w:name w:val="Table Grid"/>
    <w:basedOn w:val="TableNormal"/>
    <w:uiPriority w:val="59"/>
    <w:rsid w:val="001158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B69ED"/>
    <w:rPr>
      <w:sz w:val="16"/>
      <w:szCs w:val="16"/>
    </w:rPr>
  </w:style>
  <w:style w:type="paragraph" w:styleId="CommentText">
    <w:name w:val="annotation text"/>
    <w:basedOn w:val="Normal"/>
    <w:link w:val="CommentTextChar"/>
    <w:rsid w:val="00FB69ED"/>
    <w:rPr>
      <w:sz w:val="20"/>
    </w:rPr>
  </w:style>
  <w:style w:type="character" w:customStyle="1" w:styleId="CommentTextChar">
    <w:name w:val="Comment Text Char"/>
    <w:basedOn w:val="DefaultParagraphFont"/>
    <w:link w:val="CommentText"/>
    <w:rsid w:val="00FB69ED"/>
  </w:style>
  <w:style w:type="paragraph" w:styleId="CommentSubject">
    <w:name w:val="annotation subject"/>
    <w:basedOn w:val="CommentText"/>
    <w:next w:val="CommentText"/>
    <w:link w:val="CommentSubjectChar"/>
    <w:rsid w:val="00FB69ED"/>
    <w:rPr>
      <w:b/>
      <w:bCs/>
    </w:rPr>
  </w:style>
  <w:style w:type="character" w:customStyle="1" w:styleId="CommentSubjectChar">
    <w:name w:val="Comment Subject Char"/>
    <w:basedOn w:val="CommentTextChar"/>
    <w:link w:val="CommentSubject"/>
    <w:rsid w:val="00FB69ED"/>
    <w:rPr>
      <w:b/>
      <w:bCs/>
    </w:rPr>
  </w:style>
  <w:style w:type="paragraph" w:styleId="Revision">
    <w:name w:val="Revision"/>
    <w:hidden/>
    <w:uiPriority w:val="99"/>
    <w:semiHidden/>
    <w:rsid w:val="00FB69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5592">
      <w:bodyDiv w:val="1"/>
      <w:marLeft w:val="0"/>
      <w:marRight w:val="0"/>
      <w:marTop w:val="0"/>
      <w:marBottom w:val="0"/>
      <w:divBdr>
        <w:top w:val="none" w:sz="0" w:space="0" w:color="auto"/>
        <w:left w:val="none" w:sz="0" w:space="0" w:color="auto"/>
        <w:bottom w:val="none" w:sz="0" w:space="0" w:color="auto"/>
        <w:right w:val="none" w:sz="0" w:space="0" w:color="auto"/>
      </w:divBdr>
    </w:div>
    <w:div w:id="483663458">
      <w:bodyDiv w:val="1"/>
      <w:marLeft w:val="0"/>
      <w:marRight w:val="0"/>
      <w:marTop w:val="0"/>
      <w:marBottom w:val="0"/>
      <w:divBdr>
        <w:top w:val="none" w:sz="0" w:space="0" w:color="auto"/>
        <w:left w:val="none" w:sz="0" w:space="0" w:color="auto"/>
        <w:bottom w:val="none" w:sz="0" w:space="0" w:color="auto"/>
        <w:right w:val="none" w:sz="0" w:space="0" w:color="auto"/>
      </w:divBdr>
    </w:div>
    <w:div w:id="642082186">
      <w:bodyDiv w:val="1"/>
      <w:marLeft w:val="0"/>
      <w:marRight w:val="0"/>
      <w:marTop w:val="0"/>
      <w:marBottom w:val="0"/>
      <w:divBdr>
        <w:top w:val="none" w:sz="0" w:space="0" w:color="auto"/>
        <w:left w:val="none" w:sz="0" w:space="0" w:color="auto"/>
        <w:bottom w:val="none" w:sz="0" w:space="0" w:color="auto"/>
        <w:right w:val="none" w:sz="0" w:space="0" w:color="auto"/>
      </w:divBdr>
    </w:div>
    <w:div w:id="908686140">
      <w:bodyDiv w:val="1"/>
      <w:marLeft w:val="0"/>
      <w:marRight w:val="0"/>
      <w:marTop w:val="0"/>
      <w:marBottom w:val="0"/>
      <w:divBdr>
        <w:top w:val="none" w:sz="0" w:space="0" w:color="auto"/>
        <w:left w:val="none" w:sz="0" w:space="0" w:color="auto"/>
        <w:bottom w:val="none" w:sz="0" w:space="0" w:color="auto"/>
        <w:right w:val="none" w:sz="0" w:space="0" w:color="auto"/>
      </w:divBdr>
    </w:div>
    <w:div w:id="921989361">
      <w:bodyDiv w:val="1"/>
      <w:marLeft w:val="0"/>
      <w:marRight w:val="0"/>
      <w:marTop w:val="0"/>
      <w:marBottom w:val="0"/>
      <w:divBdr>
        <w:top w:val="none" w:sz="0" w:space="0" w:color="auto"/>
        <w:left w:val="none" w:sz="0" w:space="0" w:color="auto"/>
        <w:bottom w:val="none" w:sz="0" w:space="0" w:color="auto"/>
        <w:right w:val="none" w:sz="0" w:space="0" w:color="auto"/>
      </w:divBdr>
    </w:div>
    <w:div w:id="1012998172">
      <w:bodyDiv w:val="1"/>
      <w:marLeft w:val="0"/>
      <w:marRight w:val="0"/>
      <w:marTop w:val="0"/>
      <w:marBottom w:val="0"/>
      <w:divBdr>
        <w:top w:val="none" w:sz="0" w:space="0" w:color="auto"/>
        <w:left w:val="none" w:sz="0" w:space="0" w:color="auto"/>
        <w:bottom w:val="none" w:sz="0" w:space="0" w:color="auto"/>
        <w:right w:val="none" w:sz="0" w:space="0" w:color="auto"/>
      </w:divBdr>
    </w:div>
    <w:div w:id="1033193213">
      <w:bodyDiv w:val="1"/>
      <w:marLeft w:val="0"/>
      <w:marRight w:val="0"/>
      <w:marTop w:val="0"/>
      <w:marBottom w:val="0"/>
      <w:divBdr>
        <w:top w:val="none" w:sz="0" w:space="0" w:color="auto"/>
        <w:left w:val="none" w:sz="0" w:space="0" w:color="auto"/>
        <w:bottom w:val="none" w:sz="0" w:space="0" w:color="auto"/>
        <w:right w:val="none" w:sz="0" w:space="0" w:color="auto"/>
      </w:divBdr>
    </w:div>
    <w:div w:id="1145468366">
      <w:bodyDiv w:val="1"/>
      <w:marLeft w:val="0"/>
      <w:marRight w:val="0"/>
      <w:marTop w:val="0"/>
      <w:marBottom w:val="0"/>
      <w:divBdr>
        <w:top w:val="none" w:sz="0" w:space="0" w:color="auto"/>
        <w:left w:val="none" w:sz="0" w:space="0" w:color="auto"/>
        <w:bottom w:val="none" w:sz="0" w:space="0" w:color="auto"/>
        <w:right w:val="none" w:sz="0" w:space="0" w:color="auto"/>
      </w:divBdr>
    </w:div>
    <w:div w:id="1170145618">
      <w:bodyDiv w:val="1"/>
      <w:marLeft w:val="0"/>
      <w:marRight w:val="0"/>
      <w:marTop w:val="0"/>
      <w:marBottom w:val="0"/>
      <w:divBdr>
        <w:top w:val="none" w:sz="0" w:space="0" w:color="auto"/>
        <w:left w:val="none" w:sz="0" w:space="0" w:color="auto"/>
        <w:bottom w:val="none" w:sz="0" w:space="0" w:color="auto"/>
        <w:right w:val="none" w:sz="0" w:space="0" w:color="auto"/>
      </w:divBdr>
    </w:div>
    <w:div w:id="1188910519">
      <w:bodyDiv w:val="1"/>
      <w:marLeft w:val="0"/>
      <w:marRight w:val="0"/>
      <w:marTop w:val="0"/>
      <w:marBottom w:val="0"/>
      <w:divBdr>
        <w:top w:val="none" w:sz="0" w:space="0" w:color="auto"/>
        <w:left w:val="none" w:sz="0" w:space="0" w:color="auto"/>
        <w:bottom w:val="none" w:sz="0" w:space="0" w:color="auto"/>
        <w:right w:val="none" w:sz="0" w:space="0" w:color="auto"/>
      </w:divBdr>
      <w:divsChild>
        <w:div w:id="1503541881">
          <w:marLeft w:val="0"/>
          <w:marRight w:val="0"/>
          <w:marTop w:val="0"/>
          <w:marBottom w:val="0"/>
          <w:divBdr>
            <w:top w:val="none" w:sz="0" w:space="0" w:color="auto"/>
            <w:left w:val="none" w:sz="0" w:space="0" w:color="auto"/>
            <w:bottom w:val="none" w:sz="0" w:space="0" w:color="auto"/>
            <w:right w:val="none" w:sz="0" w:space="0" w:color="auto"/>
          </w:divBdr>
          <w:divsChild>
            <w:div w:id="543640287">
              <w:marLeft w:val="0"/>
              <w:marRight w:val="0"/>
              <w:marTop w:val="0"/>
              <w:marBottom w:val="0"/>
              <w:divBdr>
                <w:top w:val="none" w:sz="0" w:space="0" w:color="auto"/>
                <w:left w:val="none" w:sz="0" w:space="0" w:color="auto"/>
                <w:bottom w:val="none" w:sz="0" w:space="0" w:color="auto"/>
                <w:right w:val="none" w:sz="0" w:space="0" w:color="auto"/>
              </w:divBdr>
              <w:divsChild>
                <w:div w:id="792482939">
                  <w:marLeft w:val="0"/>
                  <w:marRight w:val="0"/>
                  <w:marTop w:val="150"/>
                  <w:marBottom w:val="0"/>
                  <w:divBdr>
                    <w:top w:val="none" w:sz="0" w:space="0" w:color="auto"/>
                    <w:left w:val="none" w:sz="0" w:space="0" w:color="auto"/>
                    <w:bottom w:val="none" w:sz="0" w:space="0" w:color="auto"/>
                    <w:right w:val="none" w:sz="0" w:space="0" w:color="auto"/>
                  </w:divBdr>
                  <w:divsChild>
                    <w:div w:id="697583322">
                      <w:marLeft w:val="0"/>
                      <w:marRight w:val="0"/>
                      <w:marTop w:val="0"/>
                      <w:marBottom w:val="0"/>
                      <w:divBdr>
                        <w:top w:val="none" w:sz="0" w:space="0" w:color="auto"/>
                        <w:left w:val="none" w:sz="0" w:space="0" w:color="auto"/>
                        <w:bottom w:val="none" w:sz="0" w:space="0" w:color="auto"/>
                        <w:right w:val="none" w:sz="0" w:space="0" w:color="auto"/>
                      </w:divBdr>
                      <w:divsChild>
                        <w:div w:id="16471461">
                          <w:marLeft w:val="0"/>
                          <w:marRight w:val="0"/>
                          <w:marTop w:val="0"/>
                          <w:marBottom w:val="0"/>
                          <w:divBdr>
                            <w:top w:val="none" w:sz="0" w:space="0" w:color="auto"/>
                            <w:left w:val="none" w:sz="0" w:space="0" w:color="auto"/>
                            <w:bottom w:val="none" w:sz="0" w:space="0" w:color="auto"/>
                            <w:right w:val="none" w:sz="0" w:space="0" w:color="auto"/>
                          </w:divBdr>
                          <w:divsChild>
                            <w:div w:id="1520119257">
                              <w:marLeft w:val="0"/>
                              <w:marRight w:val="0"/>
                              <w:marTop w:val="0"/>
                              <w:marBottom w:val="0"/>
                              <w:divBdr>
                                <w:top w:val="none" w:sz="0" w:space="0" w:color="auto"/>
                                <w:left w:val="none" w:sz="0" w:space="0" w:color="auto"/>
                                <w:bottom w:val="none" w:sz="0" w:space="0" w:color="auto"/>
                                <w:right w:val="none" w:sz="0" w:space="0" w:color="auto"/>
                              </w:divBdr>
                              <w:divsChild>
                                <w:div w:id="419061118">
                                  <w:marLeft w:val="0"/>
                                  <w:marRight w:val="0"/>
                                  <w:marTop w:val="0"/>
                                  <w:marBottom w:val="0"/>
                                  <w:divBdr>
                                    <w:top w:val="none" w:sz="0" w:space="0" w:color="auto"/>
                                    <w:left w:val="none" w:sz="0" w:space="0" w:color="auto"/>
                                    <w:bottom w:val="none" w:sz="0" w:space="0" w:color="auto"/>
                                    <w:right w:val="none" w:sz="0" w:space="0" w:color="auto"/>
                                  </w:divBdr>
                                  <w:divsChild>
                                    <w:div w:id="1146319213">
                                      <w:marLeft w:val="0"/>
                                      <w:marRight w:val="0"/>
                                      <w:marTop w:val="0"/>
                                      <w:marBottom w:val="0"/>
                                      <w:divBdr>
                                        <w:top w:val="single" w:sz="36" w:space="0" w:color="C0B3DC"/>
                                        <w:left w:val="none" w:sz="0" w:space="0" w:color="auto"/>
                                        <w:bottom w:val="none" w:sz="0" w:space="0" w:color="auto"/>
                                        <w:right w:val="none" w:sz="0" w:space="0" w:color="auto"/>
                                      </w:divBdr>
                                      <w:divsChild>
                                        <w:div w:id="6759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974735">
      <w:bodyDiv w:val="1"/>
      <w:marLeft w:val="0"/>
      <w:marRight w:val="0"/>
      <w:marTop w:val="0"/>
      <w:marBottom w:val="0"/>
      <w:divBdr>
        <w:top w:val="none" w:sz="0" w:space="0" w:color="auto"/>
        <w:left w:val="none" w:sz="0" w:space="0" w:color="auto"/>
        <w:bottom w:val="none" w:sz="0" w:space="0" w:color="auto"/>
        <w:right w:val="none" w:sz="0" w:space="0" w:color="auto"/>
      </w:divBdr>
    </w:div>
    <w:div w:id="1530336156">
      <w:bodyDiv w:val="1"/>
      <w:marLeft w:val="0"/>
      <w:marRight w:val="0"/>
      <w:marTop w:val="0"/>
      <w:marBottom w:val="0"/>
      <w:divBdr>
        <w:top w:val="none" w:sz="0" w:space="0" w:color="auto"/>
        <w:left w:val="none" w:sz="0" w:space="0" w:color="auto"/>
        <w:bottom w:val="none" w:sz="0" w:space="0" w:color="auto"/>
        <w:right w:val="none" w:sz="0" w:space="0" w:color="auto"/>
      </w:divBdr>
    </w:div>
    <w:div w:id="1747066324">
      <w:bodyDiv w:val="1"/>
      <w:marLeft w:val="0"/>
      <w:marRight w:val="0"/>
      <w:marTop w:val="0"/>
      <w:marBottom w:val="0"/>
      <w:divBdr>
        <w:top w:val="none" w:sz="0" w:space="0" w:color="auto"/>
        <w:left w:val="none" w:sz="0" w:space="0" w:color="auto"/>
        <w:bottom w:val="none" w:sz="0" w:space="0" w:color="auto"/>
        <w:right w:val="none" w:sz="0" w:space="0" w:color="auto"/>
      </w:divBdr>
    </w:div>
    <w:div w:id="2010137952">
      <w:bodyDiv w:val="1"/>
      <w:marLeft w:val="0"/>
      <w:marRight w:val="0"/>
      <w:marTop w:val="0"/>
      <w:marBottom w:val="0"/>
      <w:divBdr>
        <w:top w:val="none" w:sz="0" w:space="0" w:color="auto"/>
        <w:left w:val="none" w:sz="0" w:space="0" w:color="auto"/>
        <w:bottom w:val="none" w:sz="0" w:space="0" w:color="auto"/>
        <w:right w:val="none" w:sz="0" w:space="0" w:color="auto"/>
      </w:divBdr>
    </w:div>
    <w:div w:id="20134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da.gov/medwatch"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vaww.national.cmop.va.gov/PBM/Directives%20Policies%20and%20Information%20Letters/Guidance%20on%20Off%20Label%20Prescribing.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8B1EE9FF-D5C9-4386-B7B9-62FCE64DFEF4}"/>
</file>

<file path=customXml/itemProps2.xml><?xml version="1.0" encoding="utf-8"?>
<ds:datastoreItem xmlns:ds="http://schemas.openxmlformats.org/officeDocument/2006/customXml" ds:itemID="{32CC204F-80F0-412D-AEEB-B0790EFB08D9}"/>
</file>

<file path=customXml/itemProps3.xml><?xml version="1.0" encoding="utf-8"?>
<ds:datastoreItem xmlns:ds="http://schemas.openxmlformats.org/officeDocument/2006/customXml" ds:itemID="{836AB84A-BB99-4AB2-9AAD-CF42E889B415}"/>
</file>

<file path=customXml/itemProps4.xml><?xml version="1.0" encoding="utf-8"?>
<ds:datastoreItem xmlns:ds="http://schemas.openxmlformats.org/officeDocument/2006/customXml" ds:itemID="{9875DC10-DEE9-4A8A-9304-EF1C44F74D3F}"/>
</file>

<file path=docProps/app.xml><?xml version="1.0" encoding="utf-8"?>
<Properties xmlns="http://schemas.openxmlformats.org/officeDocument/2006/extended-properties" xmlns:vt="http://schemas.openxmlformats.org/officeDocument/2006/docPropsVTypes">
  <Template>Normal</Template>
  <TotalTime>14</TotalTime>
  <Pages>17</Pages>
  <Words>5244</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VHA PBM SHG</Company>
  <LinksUpToDate>false</LinksUpToDate>
  <CharactersWithSpaces>34316</CharactersWithSpaces>
  <SharedDoc>false</SharedDoc>
  <HLinks>
    <vt:vector size="36" baseType="variant">
      <vt:variant>
        <vt:i4>1245274</vt:i4>
      </vt:variant>
      <vt:variant>
        <vt:i4>18</vt:i4>
      </vt:variant>
      <vt:variant>
        <vt:i4>0</vt:i4>
      </vt:variant>
      <vt:variant>
        <vt:i4>5</vt:i4>
      </vt:variant>
      <vt:variant>
        <vt:lpwstr>http://www.jointcommission.org/SentinelEvents/SentinelEventAlert/</vt:lpwstr>
      </vt:variant>
      <vt:variant>
        <vt:lpwstr/>
      </vt:variant>
      <vt:variant>
        <vt:i4>3801213</vt:i4>
      </vt:variant>
      <vt:variant>
        <vt:i4>3</vt:i4>
      </vt:variant>
      <vt:variant>
        <vt:i4>0</vt:i4>
      </vt:variant>
      <vt:variant>
        <vt:i4>5</vt:i4>
      </vt:variant>
      <vt:variant>
        <vt:lpwstr>http://vaww.national.cmop.va.gov/PBM/Directives Policies and Information Letters/Guidance on Off Label Prescribing.pdf</vt:lpwstr>
      </vt:variant>
      <vt:variant>
        <vt:lpwstr/>
      </vt:variant>
      <vt:variant>
        <vt:i4>3670069</vt:i4>
      </vt:variant>
      <vt:variant>
        <vt:i4>0</vt:i4>
      </vt:variant>
      <vt:variant>
        <vt:i4>0</vt:i4>
      </vt:variant>
      <vt:variant>
        <vt:i4>5</vt:i4>
      </vt:variant>
      <vt:variant>
        <vt:lpwstr>http://vaww.pbm.va.gov/</vt:lpwstr>
      </vt:variant>
      <vt:variant>
        <vt:lpwstr/>
      </vt:variant>
      <vt:variant>
        <vt:i4>3014764</vt:i4>
      </vt:variant>
      <vt:variant>
        <vt:i4>12</vt:i4>
      </vt:variant>
      <vt:variant>
        <vt:i4>0</vt:i4>
      </vt:variant>
      <vt:variant>
        <vt:i4>5</vt:i4>
      </vt:variant>
      <vt:variant>
        <vt:lpwstr>http://www.pbm.va.gov/</vt:lpwstr>
      </vt:variant>
      <vt:variant>
        <vt:lpwstr/>
      </vt:variant>
      <vt:variant>
        <vt:i4>3014764</vt:i4>
      </vt:variant>
      <vt:variant>
        <vt:i4>6</vt:i4>
      </vt:variant>
      <vt:variant>
        <vt:i4>0</vt:i4>
      </vt:variant>
      <vt:variant>
        <vt:i4>5</vt:i4>
      </vt:variant>
      <vt:variant>
        <vt:lpwstr>http://www.pbm.va.gov/</vt:lpwstr>
      </vt:variant>
      <vt:variant>
        <vt:lpwstr/>
      </vt:variant>
      <vt:variant>
        <vt:i4>3014764</vt:i4>
      </vt:variant>
      <vt:variant>
        <vt:i4>0</vt:i4>
      </vt:variant>
      <vt:variant>
        <vt:i4>0</vt:i4>
      </vt:variant>
      <vt:variant>
        <vt:i4>5</vt:i4>
      </vt:variant>
      <vt:variant>
        <vt:lpwstr>http://www.pbm.va.gov/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dc:creator>
  <cp:lastModifiedBy>Goodman, Francine</cp:lastModifiedBy>
  <cp:revision>3</cp:revision>
  <dcterms:created xsi:type="dcterms:W3CDTF">2014-01-22T16:14:00Z</dcterms:created>
  <dcterms:modified xsi:type="dcterms:W3CDTF">2014-01-22T16:26:00Z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