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44" w:rsidRDefault="00B41944" w:rsidP="00B41944">
      <w:pPr>
        <w:pStyle w:val="Subtitle"/>
        <w:pBdr>
          <w:top w:val="single" w:sz="4" w:space="8" w:color="auto"/>
          <w:bottom w:val="single" w:sz="4" w:space="8" w:color="auto"/>
        </w:pBdr>
        <w:shd w:val="clear" w:color="auto" w:fill="E0E0E0"/>
        <w:spacing w:before="40" w:after="40"/>
        <w:rPr>
          <w:sz w:val="28"/>
        </w:rPr>
      </w:pPr>
      <w:r>
        <w:rPr>
          <w:sz w:val="28"/>
        </w:rPr>
        <w:t>Naltrexone Extended-release Suspension for Injection (VIVITROL)</w:t>
      </w:r>
    </w:p>
    <w:p w:rsidR="00B41944" w:rsidRDefault="00A5618B" w:rsidP="00B41944">
      <w:pPr>
        <w:pStyle w:val="Subtitle"/>
        <w:pBdr>
          <w:top w:val="single" w:sz="4" w:space="8" w:color="auto"/>
          <w:bottom w:val="single" w:sz="4" w:space="8" w:color="auto"/>
        </w:pBdr>
        <w:shd w:val="clear" w:color="auto" w:fill="E0E0E0"/>
        <w:spacing w:before="40" w:after="40"/>
        <w:rPr>
          <w:sz w:val="28"/>
        </w:rPr>
      </w:pPr>
      <w:r>
        <w:rPr>
          <w:sz w:val="28"/>
        </w:rPr>
        <w:t>in</w:t>
      </w:r>
      <w:r w:rsidR="00B41944">
        <w:rPr>
          <w:sz w:val="28"/>
        </w:rPr>
        <w:t xml:space="preserve"> Opioid Dependence</w:t>
      </w:r>
    </w:p>
    <w:p w:rsidR="00B41944" w:rsidRPr="00B41944" w:rsidRDefault="00B41944" w:rsidP="00B41944">
      <w:pPr>
        <w:pStyle w:val="Title"/>
        <w:pBdr>
          <w:top w:val="single" w:sz="4" w:space="8" w:color="auto"/>
          <w:bottom w:val="single" w:sz="4" w:space="8" w:color="auto"/>
        </w:pBdr>
        <w:shd w:val="clear" w:color="auto" w:fill="E0E0E0"/>
        <w:spacing w:before="40" w:after="40"/>
        <w:rPr>
          <w:szCs w:val="22"/>
        </w:rPr>
      </w:pPr>
      <w:r w:rsidRPr="00B41944">
        <w:rPr>
          <w:szCs w:val="22"/>
        </w:rPr>
        <w:t>National Drug Monograph ADDENDUM</w:t>
      </w:r>
    </w:p>
    <w:p w:rsidR="00B41944" w:rsidRDefault="00925B30" w:rsidP="00B41944">
      <w:pPr>
        <w:pStyle w:val="Subtitle"/>
        <w:pBdr>
          <w:top w:val="single" w:sz="4" w:space="8" w:color="auto"/>
          <w:bottom w:val="single" w:sz="4" w:space="8" w:color="auto"/>
        </w:pBdr>
        <w:shd w:val="clear" w:color="auto" w:fill="E0E0E0"/>
        <w:spacing w:before="40" w:after="40"/>
      </w:pPr>
      <w:r>
        <w:t>January 2014</w:t>
      </w:r>
    </w:p>
    <w:p w:rsidR="00B41944" w:rsidRDefault="00B41944" w:rsidP="00B41944">
      <w:pPr>
        <w:pStyle w:val="Subtitle"/>
        <w:pBdr>
          <w:top w:val="single" w:sz="4" w:space="8" w:color="auto"/>
          <w:bottom w:val="single" w:sz="4" w:space="8" w:color="auto"/>
        </w:pBdr>
        <w:shd w:val="clear" w:color="auto" w:fill="E0E0E0"/>
        <w:spacing w:before="40" w:after="40"/>
      </w:pPr>
      <w:r>
        <w:rPr>
          <w:sz w:val="18"/>
        </w:rPr>
        <w:t>VA Pharmacy Benefits Management Services, Medical Advisory Panel, and VISN Pharmacist Executives</w:t>
      </w:r>
    </w:p>
    <w:p w:rsidR="00B41944" w:rsidRDefault="00B41944" w:rsidP="00B41944">
      <w:pPr>
        <w:pStyle w:val="NormalWeb"/>
        <w:rPr>
          <w:i/>
          <w:iCs/>
          <w:sz w:val="18"/>
          <w:szCs w:val="18"/>
        </w:rPr>
      </w:pPr>
      <w:r w:rsidRPr="00937B26">
        <w:rPr>
          <w:i/>
          <w:iCs/>
          <w:sz w:val="18"/>
          <w:szCs w:val="18"/>
        </w:rPr>
        <w:t>The purpose of VA PBM</w:t>
      </w:r>
      <w:r>
        <w:rPr>
          <w:i/>
          <w:iCs/>
          <w:sz w:val="18"/>
          <w:szCs w:val="18"/>
        </w:rPr>
        <w:t xml:space="preserve"> Services</w:t>
      </w:r>
      <w:r w:rsidRPr="00937B26">
        <w:rPr>
          <w:i/>
          <w:iCs/>
          <w:sz w:val="18"/>
          <w:szCs w:val="18"/>
        </w:rPr>
        <w:t xml:space="preserve"> drug monographs is to provide a comprehensive drug review for making formulary decisions. These documents will be updated when new </w:t>
      </w:r>
      <w:r>
        <w:rPr>
          <w:i/>
          <w:iCs/>
          <w:sz w:val="18"/>
          <w:szCs w:val="18"/>
        </w:rPr>
        <w:t xml:space="preserve">clinical </w:t>
      </w:r>
      <w:r w:rsidRPr="00937B26">
        <w:rPr>
          <w:i/>
          <w:iCs/>
          <w:sz w:val="18"/>
          <w:szCs w:val="18"/>
        </w:rPr>
        <w:t>data warrant additional formulary discussion. Documents will be placed in the Archive section when the information is deemed to be no longer current.</w:t>
      </w:r>
    </w:p>
    <w:p w:rsidR="00601E2A" w:rsidRPr="007F27EE" w:rsidRDefault="00601E2A" w:rsidP="00601E2A">
      <w:pPr>
        <w:pStyle w:val="BodyTextIndent"/>
        <w:spacing w:before="0"/>
        <w:ind w:left="0"/>
        <w:rPr>
          <w:i/>
          <w:iCs/>
          <w:sz w:val="16"/>
          <w:szCs w:val="16"/>
        </w:rPr>
      </w:pPr>
      <w:r w:rsidRPr="007F27EE">
        <w:rPr>
          <w:i/>
          <w:iCs/>
          <w:sz w:val="16"/>
          <w:szCs w:val="16"/>
        </w:rPr>
        <w:t>The Product Information should be consulted for detailed prescribing information.</w:t>
      </w:r>
    </w:p>
    <w:p w:rsidR="00601E2A" w:rsidRDefault="00601E2A" w:rsidP="00601E2A">
      <w:pPr>
        <w:pStyle w:val="BodyTextIndent"/>
        <w:spacing w:before="0"/>
        <w:ind w:left="0"/>
        <w:rPr>
          <w:i/>
          <w:iCs/>
          <w:sz w:val="16"/>
          <w:szCs w:val="16"/>
        </w:rPr>
      </w:pPr>
      <w:r w:rsidRPr="007F27EE">
        <w:rPr>
          <w:i/>
          <w:iCs/>
          <w:sz w:val="16"/>
          <w:szCs w:val="16"/>
        </w:rPr>
        <w:t>See the VA National PBM-MAP-VPE Monograph on this drug</w:t>
      </w:r>
      <w:r>
        <w:rPr>
          <w:i/>
          <w:iCs/>
          <w:sz w:val="16"/>
          <w:szCs w:val="16"/>
        </w:rPr>
        <w:t xml:space="preserve"> </w:t>
      </w:r>
      <w:r w:rsidRPr="007F27EE">
        <w:rPr>
          <w:i/>
          <w:iCs/>
          <w:sz w:val="16"/>
          <w:szCs w:val="16"/>
        </w:rPr>
        <w:t xml:space="preserve">at </w:t>
      </w:r>
      <w:hyperlink r:id="rId9" w:history="1">
        <w:r w:rsidRPr="007F27EE">
          <w:rPr>
            <w:rStyle w:val="Hyperlink"/>
            <w:i/>
            <w:iCs/>
            <w:szCs w:val="16"/>
          </w:rPr>
          <w:t>www.pbm.va.gov</w:t>
        </w:r>
      </w:hyperlink>
      <w:r w:rsidRPr="007F27EE">
        <w:rPr>
          <w:i/>
          <w:iCs/>
          <w:sz w:val="16"/>
          <w:szCs w:val="16"/>
        </w:rPr>
        <w:t xml:space="preserve"> or </w:t>
      </w:r>
      <w:hyperlink r:id="rId10" w:history="1">
        <w:r w:rsidRPr="007F27EE">
          <w:rPr>
            <w:rStyle w:val="Hyperlink"/>
            <w:i/>
            <w:iCs/>
            <w:szCs w:val="16"/>
          </w:rPr>
          <w:t>http://vaww.pbm.va.gov</w:t>
        </w:r>
      </w:hyperlink>
      <w:r w:rsidRPr="007F27EE">
        <w:rPr>
          <w:i/>
          <w:iCs/>
          <w:sz w:val="16"/>
          <w:szCs w:val="16"/>
        </w:rPr>
        <w:t xml:space="preserve"> for further information</w:t>
      </w:r>
      <w:r w:rsidRPr="00601E2A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on its use in Alcohol Dependence</w:t>
      </w:r>
      <w:r w:rsidRPr="007F27EE">
        <w:rPr>
          <w:i/>
          <w:iCs/>
          <w:sz w:val="16"/>
          <w:szCs w:val="16"/>
        </w:rPr>
        <w:t xml:space="preserve">. </w:t>
      </w:r>
    </w:p>
    <w:p w:rsidR="009F0925" w:rsidRDefault="009F0925" w:rsidP="009F0925">
      <w:pPr>
        <w:pStyle w:val="Heading1"/>
      </w:pPr>
      <w:r>
        <w:t>SUMMARY</w:t>
      </w:r>
    </w:p>
    <w:p w:rsidR="000438EB" w:rsidRDefault="00D66357" w:rsidP="0071454D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 xml:space="preserve">Naltrexone extended-release suspension for injection (ER-NTX) was approved by the Food and Drug Administration </w:t>
      </w:r>
      <w:r w:rsidR="000438EB">
        <w:rPr>
          <w:bCs/>
        </w:rPr>
        <w:t xml:space="preserve">in 2006 for the treatment of alcohol dependence and </w:t>
      </w:r>
      <w:r>
        <w:rPr>
          <w:bCs/>
        </w:rPr>
        <w:t xml:space="preserve">in October 2010 for the </w:t>
      </w:r>
      <w:r w:rsidR="000438EB">
        <w:rPr>
          <w:bCs/>
        </w:rPr>
        <w:t>prevention of relapse to opioid dependence, following opioid detoxification. This monograph addendum provides an evidence review of ER-NTX for the opioid dependence indication.</w:t>
      </w:r>
    </w:p>
    <w:p w:rsidR="009F0925" w:rsidRPr="0071454D" w:rsidRDefault="0071454D" w:rsidP="0071454D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There are no</w:t>
      </w:r>
      <w:r w:rsidR="009F0925" w:rsidRPr="0071454D">
        <w:rPr>
          <w:bCs/>
        </w:rPr>
        <w:t xml:space="preserve"> </w:t>
      </w:r>
      <w:r w:rsidR="00382D5D">
        <w:rPr>
          <w:bCs/>
        </w:rPr>
        <w:t xml:space="preserve">randomized clinical trials </w:t>
      </w:r>
      <w:r>
        <w:rPr>
          <w:bCs/>
        </w:rPr>
        <w:t>direct</w:t>
      </w:r>
      <w:r w:rsidR="00382D5D">
        <w:rPr>
          <w:bCs/>
        </w:rPr>
        <w:t>ly</w:t>
      </w:r>
      <w:r w:rsidR="009F0925" w:rsidRPr="0071454D">
        <w:rPr>
          <w:bCs/>
        </w:rPr>
        <w:t xml:space="preserve"> comparin</w:t>
      </w:r>
      <w:r w:rsidR="00382D5D">
        <w:rPr>
          <w:bCs/>
        </w:rPr>
        <w:t>g</w:t>
      </w:r>
      <w:r w:rsidR="009F0925" w:rsidRPr="0071454D">
        <w:rPr>
          <w:bCs/>
        </w:rPr>
        <w:t xml:space="preserve"> </w:t>
      </w:r>
      <w:r>
        <w:rPr>
          <w:bCs/>
        </w:rPr>
        <w:t>intramuscular</w:t>
      </w:r>
      <w:r w:rsidR="009F0925" w:rsidRPr="0071454D">
        <w:rPr>
          <w:bCs/>
        </w:rPr>
        <w:t xml:space="preserve"> and </w:t>
      </w:r>
      <w:r>
        <w:rPr>
          <w:bCs/>
        </w:rPr>
        <w:t>oral naltrexone</w:t>
      </w:r>
      <w:r w:rsidR="009F0925" w:rsidRPr="0071454D">
        <w:rPr>
          <w:bCs/>
        </w:rPr>
        <w:t xml:space="preserve"> formulations.</w:t>
      </w:r>
    </w:p>
    <w:p w:rsidR="009F0925" w:rsidRPr="0071454D" w:rsidRDefault="000438EB" w:rsidP="0071454D">
      <w:pPr>
        <w:pStyle w:val="ListParagraph"/>
        <w:numPr>
          <w:ilvl w:val="0"/>
          <w:numId w:val="14"/>
        </w:numPr>
        <w:rPr>
          <w:bCs/>
          <w:lang w:bidi="en-US"/>
        </w:rPr>
      </w:pPr>
      <w:r>
        <w:rPr>
          <w:bCs/>
          <w:lang w:bidi="en-US"/>
        </w:rPr>
        <w:t xml:space="preserve">In Russian outpatients with a DSM-IV diagnosis of opioid dependence, </w:t>
      </w:r>
      <w:r w:rsidR="0071454D">
        <w:rPr>
          <w:bCs/>
          <w:lang w:bidi="en-US"/>
        </w:rPr>
        <w:t>ER-NTX</w:t>
      </w:r>
      <w:r w:rsidR="009F0925" w:rsidRPr="0071454D">
        <w:rPr>
          <w:bCs/>
          <w:lang w:bidi="en-US"/>
        </w:rPr>
        <w:t xml:space="preserve"> was superior to </w:t>
      </w:r>
      <w:r w:rsidR="0071454D">
        <w:rPr>
          <w:bCs/>
          <w:lang w:bidi="en-US"/>
        </w:rPr>
        <w:t>placebo (PBO)</w:t>
      </w:r>
      <w:r w:rsidR="009F0925" w:rsidRPr="0071454D">
        <w:rPr>
          <w:bCs/>
          <w:lang w:bidi="en-US"/>
        </w:rPr>
        <w:t xml:space="preserve"> in terms of </w:t>
      </w:r>
    </w:p>
    <w:p w:rsidR="009F0925" w:rsidRPr="001F152C" w:rsidRDefault="009F0925" w:rsidP="0071454D">
      <w:pPr>
        <w:numPr>
          <w:ilvl w:val="1"/>
          <w:numId w:val="14"/>
        </w:numPr>
        <w:spacing w:before="0" w:after="0" w:line="276" w:lineRule="auto"/>
        <w:ind w:left="1080"/>
        <w:rPr>
          <w:bCs/>
          <w:lang w:bidi="en-US"/>
        </w:rPr>
      </w:pPr>
      <w:r w:rsidRPr="001F152C">
        <w:rPr>
          <w:bCs/>
          <w:lang w:bidi="en-US"/>
        </w:rPr>
        <w:t>Median proportion of weeks of confirmed opioid abstinence during weeks 5-24 (primary endpoint)</w:t>
      </w:r>
      <w:r>
        <w:rPr>
          <w:bCs/>
          <w:lang w:bidi="en-US"/>
        </w:rPr>
        <w:t>:  90% vs. 35%; diff</w:t>
      </w:r>
      <w:r w:rsidR="000438EB">
        <w:rPr>
          <w:bCs/>
          <w:lang w:bidi="en-US"/>
        </w:rPr>
        <w:t>erence,</w:t>
      </w:r>
      <w:r>
        <w:rPr>
          <w:bCs/>
          <w:lang w:bidi="en-US"/>
        </w:rPr>
        <w:t xml:space="preserve"> 55% (15.9–76.1)</w:t>
      </w:r>
      <w:r w:rsidRPr="001F152C">
        <w:rPr>
          <w:bCs/>
          <w:lang w:bidi="en-US"/>
        </w:rPr>
        <w:t xml:space="preserve">. </w:t>
      </w:r>
    </w:p>
    <w:p w:rsidR="009F0925" w:rsidRPr="001F152C" w:rsidRDefault="009F0925" w:rsidP="0071454D">
      <w:pPr>
        <w:numPr>
          <w:ilvl w:val="1"/>
          <w:numId w:val="14"/>
        </w:numPr>
        <w:spacing w:before="0" w:after="0" w:line="276" w:lineRule="auto"/>
        <w:ind w:left="1080"/>
        <w:rPr>
          <w:bCs/>
          <w:lang w:bidi="en-US"/>
        </w:rPr>
      </w:pPr>
      <w:r w:rsidRPr="001F152C">
        <w:rPr>
          <w:bCs/>
          <w:lang w:bidi="en-US"/>
        </w:rPr>
        <w:t>Proportion of patients who achieved total confirmed abstinence</w:t>
      </w:r>
      <w:r>
        <w:rPr>
          <w:bCs/>
          <w:lang w:bidi="en-US"/>
        </w:rPr>
        <w:t xml:space="preserve">: </w:t>
      </w:r>
      <w:r w:rsidRPr="001F152C">
        <w:rPr>
          <w:bCs/>
          <w:lang w:bidi="en-US"/>
        </w:rPr>
        <w:t xml:space="preserve"> </w:t>
      </w:r>
      <w:r>
        <w:rPr>
          <w:bCs/>
          <w:lang w:bidi="en-US"/>
        </w:rPr>
        <w:t>36% vs. 23%; RR 1.58 (1.06–2.36)</w:t>
      </w:r>
    </w:p>
    <w:p w:rsidR="009F0925" w:rsidRPr="001F152C" w:rsidRDefault="009F0925" w:rsidP="0071454D">
      <w:pPr>
        <w:numPr>
          <w:ilvl w:val="1"/>
          <w:numId w:val="14"/>
        </w:numPr>
        <w:spacing w:before="0" w:after="0" w:line="276" w:lineRule="auto"/>
        <w:ind w:left="1080"/>
        <w:rPr>
          <w:bCs/>
          <w:lang w:bidi="en-US"/>
        </w:rPr>
      </w:pPr>
      <w:r w:rsidRPr="001F152C">
        <w:rPr>
          <w:bCs/>
          <w:lang w:bidi="en-US"/>
        </w:rPr>
        <w:t>Reduction in opioid craving</w:t>
      </w:r>
      <w:r>
        <w:rPr>
          <w:bCs/>
          <w:lang w:bidi="en-US"/>
        </w:rPr>
        <w:t xml:space="preserve"> on VAS score from BL:  –10.1 vs. 0.7.</w:t>
      </w:r>
    </w:p>
    <w:p w:rsidR="009F0925" w:rsidRDefault="009F0925" w:rsidP="0071454D">
      <w:pPr>
        <w:numPr>
          <w:ilvl w:val="1"/>
          <w:numId w:val="14"/>
        </w:numPr>
        <w:spacing w:before="0" w:after="0" w:line="276" w:lineRule="auto"/>
        <w:ind w:left="1080"/>
        <w:rPr>
          <w:bCs/>
          <w:lang w:bidi="en-US"/>
        </w:rPr>
      </w:pPr>
      <w:r w:rsidRPr="001F152C">
        <w:rPr>
          <w:bCs/>
          <w:lang w:bidi="en-US"/>
        </w:rPr>
        <w:t>Treatment retention duration</w:t>
      </w:r>
      <w:r>
        <w:rPr>
          <w:bCs/>
          <w:lang w:bidi="en-US"/>
        </w:rPr>
        <w:t>:  &gt;168 d vs. 96 d; RR 0.61 (0.44–0.86)</w:t>
      </w:r>
    </w:p>
    <w:p w:rsidR="000438EB" w:rsidRDefault="009F0925" w:rsidP="0071454D">
      <w:pPr>
        <w:numPr>
          <w:ilvl w:val="1"/>
          <w:numId w:val="14"/>
        </w:numPr>
        <w:spacing w:before="0" w:after="0" w:line="276" w:lineRule="auto"/>
        <w:ind w:left="1080"/>
        <w:rPr>
          <w:bCs/>
          <w:lang w:bidi="en-US"/>
        </w:rPr>
      </w:pPr>
      <w:r>
        <w:rPr>
          <w:bCs/>
          <w:lang w:bidi="en-US"/>
        </w:rPr>
        <w:t>Improvement in EQ-5D function</w:t>
      </w:r>
    </w:p>
    <w:p w:rsidR="009F0925" w:rsidRPr="001F152C" w:rsidRDefault="000438EB" w:rsidP="0071454D">
      <w:pPr>
        <w:numPr>
          <w:ilvl w:val="1"/>
          <w:numId w:val="14"/>
        </w:numPr>
        <w:spacing w:before="0" w:after="0" w:line="276" w:lineRule="auto"/>
        <w:ind w:left="1080"/>
        <w:rPr>
          <w:bCs/>
          <w:lang w:bidi="en-US"/>
        </w:rPr>
      </w:pPr>
      <w:r>
        <w:rPr>
          <w:bCs/>
          <w:lang w:bidi="en-US"/>
        </w:rPr>
        <w:t>R</w:t>
      </w:r>
      <w:r w:rsidR="009F0925">
        <w:rPr>
          <w:bCs/>
          <w:lang w:bidi="en-US"/>
        </w:rPr>
        <w:t>isk for HIV behavior scores</w:t>
      </w:r>
      <w:r w:rsidR="009F0925" w:rsidRPr="001F152C">
        <w:rPr>
          <w:bCs/>
          <w:lang w:bidi="en-US"/>
        </w:rPr>
        <w:t xml:space="preserve"> </w:t>
      </w:r>
    </w:p>
    <w:p w:rsidR="009F0925" w:rsidRPr="0071454D" w:rsidRDefault="0071454D" w:rsidP="0071454D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ER-NTX was s</w:t>
      </w:r>
      <w:r w:rsidR="009F0925" w:rsidRPr="0071454D">
        <w:rPr>
          <w:bCs/>
        </w:rPr>
        <w:t xml:space="preserve">hown to be relatively safe in </w:t>
      </w:r>
      <w:r w:rsidR="006248C3">
        <w:rPr>
          <w:bCs/>
        </w:rPr>
        <w:t xml:space="preserve">a subgroup of </w:t>
      </w:r>
      <w:r>
        <w:rPr>
          <w:bCs/>
        </w:rPr>
        <w:t>patients</w:t>
      </w:r>
      <w:r w:rsidR="009F0925" w:rsidRPr="0071454D">
        <w:rPr>
          <w:bCs/>
        </w:rPr>
        <w:t xml:space="preserve"> with underlying mild to moderate chronic HCV and/or HIV infections</w:t>
      </w:r>
      <w:r w:rsidR="008133E3">
        <w:rPr>
          <w:bCs/>
        </w:rPr>
        <w:t xml:space="preserve"> over a 24-week period</w:t>
      </w:r>
      <w:r w:rsidR="009F0925" w:rsidRPr="0071454D">
        <w:rPr>
          <w:bCs/>
        </w:rPr>
        <w:t xml:space="preserve">. Hepatic safety of </w:t>
      </w:r>
      <w:r w:rsidR="000438EB">
        <w:rPr>
          <w:bCs/>
        </w:rPr>
        <w:t>E</w:t>
      </w:r>
      <w:r w:rsidR="009F0925" w:rsidRPr="0071454D">
        <w:rPr>
          <w:bCs/>
        </w:rPr>
        <w:t>R-NTX in the longer term in these populations is uncertain.</w:t>
      </w:r>
    </w:p>
    <w:p w:rsidR="0071454D" w:rsidRDefault="0071454D" w:rsidP="0071454D">
      <w:pPr>
        <w:pStyle w:val="ListParagraph"/>
        <w:numPr>
          <w:ilvl w:val="0"/>
          <w:numId w:val="14"/>
        </w:numPr>
        <w:rPr>
          <w:bCs/>
        </w:rPr>
      </w:pPr>
      <w:r w:rsidRPr="0071454D">
        <w:rPr>
          <w:bCs/>
        </w:rPr>
        <w:t xml:space="preserve">Insomnia was the only </w:t>
      </w:r>
      <w:r>
        <w:rPr>
          <w:bCs/>
        </w:rPr>
        <w:t>adverse event</w:t>
      </w:r>
      <w:r w:rsidRPr="0071454D">
        <w:rPr>
          <w:bCs/>
        </w:rPr>
        <w:t xml:space="preserve"> that occurred in significantly more patients on </w:t>
      </w:r>
      <w:r w:rsidR="000438EB">
        <w:rPr>
          <w:bCs/>
        </w:rPr>
        <w:t>E</w:t>
      </w:r>
      <w:r w:rsidRPr="0071454D">
        <w:rPr>
          <w:bCs/>
        </w:rPr>
        <w:t xml:space="preserve">R-NTX than </w:t>
      </w:r>
      <w:r w:rsidR="008133E3">
        <w:rPr>
          <w:bCs/>
        </w:rPr>
        <w:t>placebo</w:t>
      </w:r>
      <w:r w:rsidRPr="0071454D">
        <w:rPr>
          <w:bCs/>
        </w:rPr>
        <w:t xml:space="preserve"> (6% vs. 1%). </w:t>
      </w:r>
    </w:p>
    <w:p w:rsidR="009F0925" w:rsidRPr="0071454D" w:rsidRDefault="008133E3" w:rsidP="0071454D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 xml:space="preserve">The </w:t>
      </w:r>
      <w:r w:rsidR="009F0925" w:rsidRPr="0071454D">
        <w:rPr>
          <w:bCs/>
        </w:rPr>
        <w:t xml:space="preserve">FDA is requiring the </w:t>
      </w:r>
      <w:r w:rsidR="0071454D">
        <w:rPr>
          <w:bCs/>
        </w:rPr>
        <w:t>manufacturer</w:t>
      </w:r>
      <w:r w:rsidR="009F0925" w:rsidRPr="0071454D">
        <w:rPr>
          <w:bCs/>
        </w:rPr>
        <w:t xml:space="preserve"> to conduct postmarketing studies to evaluate whether there is a gender-related risk of injection site reactions, and if there is, the factors that might predispose to increased risk.</w:t>
      </w:r>
    </w:p>
    <w:p w:rsidR="0071454D" w:rsidRDefault="008133E3" w:rsidP="0071454D">
      <w:pPr>
        <w:pStyle w:val="ListParagraph"/>
        <w:numPr>
          <w:ilvl w:val="0"/>
          <w:numId w:val="14"/>
        </w:numPr>
        <w:rPr>
          <w:bCs/>
        </w:rPr>
      </w:pPr>
      <w:r w:rsidRPr="0071454D">
        <w:rPr>
          <w:bCs/>
        </w:rPr>
        <w:t xml:space="preserve">Overall </w:t>
      </w:r>
      <w:r w:rsidR="0071454D" w:rsidRPr="0071454D">
        <w:rPr>
          <w:bCs/>
        </w:rPr>
        <w:t>Evidence Quality</w:t>
      </w:r>
      <w:r>
        <w:rPr>
          <w:bCs/>
        </w:rPr>
        <w:t>:</w:t>
      </w:r>
      <w:r w:rsidR="0071454D" w:rsidRPr="0071454D">
        <w:rPr>
          <w:bCs/>
        </w:rPr>
        <w:t xml:space="preserve">  </w:t>
      </w:r>
      <w:r>
        <w:t>There was o</w:t>
      </w:r>
      <w:r w:rsidRPr="0021185C">
        <w:t>ne moderate-quality major efficacy study with long-term extension study</w:t>
      </w:r>
      <w:r>
        <w:t>. Overall risk of bias was fair. Quality of this RCT was downgraded because of potential unmasking of treatment, a bias-prone method, high dropout, and relatively large difference in completion rates between tre</w:t>
      </w:r>
      <w:r w:rsidR="006248C3">
        <w:t>at</w:t>
      </w:r>
      <w:r>
        <w:t>ment groups.</w:t>
      </w:r>
      <w:r w:rsidR="00382D5D">
        <w:t xml:space="preserve"> The study was sponsored by the manufacturer (Alkermes) and the authors have potential financial conflicts of interest.</w:t>
      </w:r>
    </w:p>
    <w:p w:rsidR="0071454D" w:rsidRPr="0071454D" w:rsidRDefault="0071454D" w:rsidP="0071454D">
      <w:pPr>
        <w:pStyle w:val="ListParagraph"/>
        <w:numPr>
          <w:ilvl w:val="1"/>
          <w:numId w:val="14"/>
        </w:numPr>
        <w:ind w:left="1080"/>
        <w:rPr>
          <w:bCs/>
        </w:rPr>
      </w:pPr>
      <w:r>
        <w:t xml:space="preserve">Consistency of Results: </w:t>
      </w:r>
      <w:r w:rsidR="00AC2133">
        <w:t xml:space="preserve"> </w:t>
      </w:r>
      <w:r>
        <w:t>There was consistency of results within the study. There is no other study to validate the results.</w:t>
      </w:r>
      <w:r w:rsidRPr="0071454D">
        <w:t xml:space="preserve"> </w:t>
      </w:r>
    </w:p>
    <w:p w:rsidR="0071454D" w:rsidRPr="0071454D" w:rsidRDefault="0071454D" w:rsidP="0071454D">
      <w:pPr>
        <w:pStyle w:val="ListParagraph"/>
        <w:numPr>
          <w:ilvl w:val="1"/>
          <w:numId w:val="14"/>
        </w:numPr>
        <w:ind w:left="1080"/>
        <w:rPr>
          <w:bCs/>
        </w:rPr>
      </w:pPr>
      <w:r>
        <w:t>Directness of Evidence:  Evidence linking treatment to important clinical outcomes was direct. There were no head-to-head studies comparing two or more active treatments.</w:t>
      </w:r>
      <w:r w:rsidRPr="0071454D">
        <w:t xml:space="preserve"> </w:t>
      </w:r>
    </w:p>
    <w:p w:rsidR="0071454D" w:rsidRPr="0071454D" w:rsidRDefault="0071454D" w:rsidP="0071454D">
      <w:pPr>
        <w:pStyle w:val="ListParagraph"/>
        <w:numPr>
          <w:ilvl w:val="1"/>
          <w:numId w:val="14"/>
        </w:numPr>
        <w:ind w:left="1080"/>
        <w:rPr>
          <w:bCs/>
        </w:rPr>
      </w:pPr>
      <w:r>
        <w:lastRenderedPageBreak/>
        <w:t>Precision of Results:  The 95% CI for the treatment difference for one of two primary outcome measures (</w:t>
      </w:r>
      <w:r w:rsidR="008133E3">
        <w:t>percentage</w:t>
      </w:r>
      <w:r>
        <w:t xml:space="preserve"> of weeks of confirmed abstinence) was wide but excluded the possibility that </w:t>
      </w:r>
      <w:r w:rsidR="000438EB">
        <w:t>E</w:t>
      </w:r>
      <w:r>
        <w:t xml:space="preserve">R-NTX was not better than PBO. The 95% CI for the relative risk of benefit for the other primary outcome measure (patients with total confirmed abstinence) was narrow but the lower limit (1.06) approached 1.00, suggesting a possibility that </w:t>
      </w:r>
      <w:r w:rsidR="000438EB">
        <w:t>E</w:t>
      </w:r>
      <w:r>
        <w:t>R-NTX was not superior.</w:t>
      </w:r>
      <w:r w:rsidRPr="0071454D">
        <w:t xml:space="preserve"> </w:t>
      </w:r>
    </w:p>
    <w:p w:rsidR="0071454D" w:rsidRPr="0071454D" w:rsidRDefault="0071454D" w:rsidP="008133E3">
      <w:pPr>
        <w:pStyle w:val="ListParagraph"/>
        <w:numPr>
          <w:ilvl w:val="1"/>
          <w:numId w:val="14"/>
        </w:numPr>
        <w:ind w:left="1080"/>
        <w:rPr>
          <w:bCs/>
        </w:rPr>
      </w:pPr>
      <w:r>
        <w:t xml:space="preserve">External Validity to VA:  The study results were applicable to a selected subgroup of Russian opioid addicts and </w:t>
      </w:r>
      <w:r w:rsidR="008133E3">
        <w:t xml:space="preserve">there were </w:t>
      </w:r>
      <w:r>
        <w:t xml:space="preserve">many exclusions to study entry. Nonetheless, there is no reason to exclude the U.S. Veteran opioid addict population from a therapeutic trial of </w:t>
      </w:r>
      <w:r w:rsidR="000438EB">
        <w:t>E</w:t>
      </w:r>
      <w:r>
        <w:t>R-NTX.</w:t>
      </w:r>
    </w:p>
    <w:p w:rsidR="009F0925" w:rsidRPr="009F0925" w:rsidRDefault="009F0925" w:rsidP="009F0925"/>
    <w:p w:rsidR="00B41944" w:rsidRDefault="00B41944" w:rsidP="00B41944">
      <w:pPr>
        <w:pStyle w:val="Subtitle"/>
      </w:pPr>
    </w:p>
    <w:p w:rsidR="00B94BCD" w:rsidRDefault="00971728" w:rsidP="00971728">
      <w:pPr>
        <w:pStyle w:val="Caption"/>
      </w:pPr>
      <w:r>
        <w:t xml:space="preserve">Table </w:t>
      </w:r>
      <w:fldSimple w:instr=" SEQ Table \* ARABIC ">
        <w:r w:rsidR="00FD470E">
          <w:rPr>
            <w:noProof/>
          </w:rPr>
          <w:t>1</w:t>
        </w:r>
      </w:fldSimple>
      <w:r>
        <w:tab/>
        <w:t xml:space="preserve">Summary of </w:t>
      </w:r>
      <w:r w:rsidR="00A5618B">
        <w:t>Naltrexone ER Injection</w:t>
      </w:r>
      <w:r>
        <w:t xml:space="preserve"> Studies</w:t>
      </w:r>
      <w:r w:rsidR="00B41944">
        <w:t xml:space="preserve"> in Opioid Dependence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59"/>
        <w:gridCol w:w="222"/>
        <w:gridCol w:w="5515"/>
      </w:tblGrid>
      <w:tr w:rsidR="001820FA" w:rsidRPr="008105B6" w:rsidTr="00B41944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4BCD" w:rsidRPr="008105B6" w:rsidRDefault="00B94BCD" w:rsidP="00B94BCD">
            <w:pPr>
              <w:pStyle w:val="Table09"/>
              <w:rPr>
                <w:b/>
              </w:rPr>
            </w:pPr>
            <w:r w:rsidRPr="008105B6">
              <w:rPr>
                <w:b/>
              </w:rPr>
              <w:t>Reference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4BCD" w:rsidRPr="008105B6" w:rsidRDefault="00B94BCD" w:rsidP="00B94BCD">
            <w:pPr>
              <w:pStyle w:val="Table09"/>
              <w:rPr>
                <w:b/>
              </w:rPr>
            </w:pPr>
            <w:r w:rsidRPr="008105B6">
              <w:rPr>
                <w:b/>
              </w:rPr>
              <w:t>Design</w:t>
            </w:r>
            <w:r w:rsidR="00566B8B">
              <w:rPr>
                <w:b/>
              </w:rPr>
              <w:t>,</w:t>
            </w:r>
            <w:r w:rsidR="00566B8B" w:rsidRPr="008105B6">
              <w:rPr>
                <w:b/>
              </w:rPr>
              <w:t xml:space="preserve"> Study Population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4BCD" w:rsidRPr="008105B6" w:rsidRDefault="00B94BCD" w:rsidP="00B94BCD">
            <w:pPr>
              <w:pStyle w:val="Table09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4BCD" w:rsidRPr="008105B6" w:rsidRDefault="00B94BCD" w:rsidP="00B94BCD">
            <w:pPr>
              <w:pStyle w:val="Table09"/>
              <w:rPr>
                <w:b/>
              </w:rPr>
            </w:pPr>
            <w:r w:rsidRPr="008105B6">
              <w:rPr>
                <w:b/>
              </w:rPr>
              <w:t>Findings</w:t>
            </w:r>
          </w:p>
        </w:tc>
      </w:tr>
      <w:tr w:rsidR="001820FA" w:rsidTr="00B41944"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B94BCD" w:rsidRDefault="00B94BCD" w:rsidP="00B94BCD">
            <w:pPr>
              <w:pStyle w:val="Table09"/>
            </w:pPr>
            <w:r>
              <w:t>Krupitsky (2011)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B94BCD" w:rsidRDefault="008105B6" w:rsidP="00B94BCD">
            <w:pPr>
              <w:pStyle w:val="Table09"/>
            </w:pPr>
            <w:r>
              <w:t xml:space="preserve">24-wk </w:t>
            </w:r>
            <w:r w:rsidR="00B94BCD">
              <w:t>PC RCT</w:t>
            </w:r>
          </w:p>
          <w:p w:rsidR="00B94BCD" w:rsidRDefault="00566B8B" w:rsidP="00B94BCD">
            <w:pPr>
              <w:pStyle w:val="Table09"/>
            </w:pPr>
            <w:r>
              <w:t>O</w:t>
            </w:r>
            <w:r w:rsidRPr="00B94BCD">
              <w:t xml:space="preserve">pioid-detoxified patients receiving </w:t>
            </w:r>
            <w:r w:rsidR="006248C3">
              <w:t>ER-NTX</w:t>
            </w:r>
            <w:r w:rsidRPr="00B94BCD">
              <w:t xml:space="preserve"> 380 mg once every 4 weeks in combination with psychosocial support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B94BCD" w:rsidRDefault="00B94BCD" w:rsidP="00B94BCD">
            <w:pPr>
              <w:pStyle w:val="Table09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B94BCD" w:rsidRDefault="006248C3" w:rsidP="00B94BCD">
            <w:pPr>
              <w:pStyle w:val="Table09"/>
            </w:pPr>
            <w:r>
              <w:t>E</w:t>
            </w:r>
            <w:r w:rsidR="00B94BCD">
              <w:t xml:space="preserve">R-NTX was superior to PBO in terms of </w:t>
            </w:r>
          </w:p>
          <w:p w:rsidR="00B94BCD" w:rsidRDefault="00B94BCD" w:rsidP="00B94BCD">
            <w:pPr>
              <w:pStyle w:val="Table09"/>
              <w:numPr>
                <w:ilvl w:val="0"/>
                <w:numId w:val="2"/>
              </w:numPr>
              <w:ind w:left="279" w:hanging="180"/>
            </w:pPr>
            <w:r w:rsidRPr="00B94BCD">
              <w:t>Median proportion of weeks of confirmed opioid abstinence during weeks 5-24 (primary endpoint)</w:t>
            </w:r>
            <w:r w:rsidR="00382D5D">
              <w:t xml:space="preserve">: </w:t>
            </w:r>
            <w:r w:rsidR="00382D5D">
              <w:rPr>
                <w:bCs/>
              </w:rPr>
              <w:t xml:space="preserve"> 90% vs. 35%; difference, 55% (15.9–76.1)</w:t>
            </w:r>
            <w:r w:rsidRPr="00B94BCD">
              <w:t xml:space="preserve">. </w:t>
            </w:r>
          </w:p>
          <w:p w:rsidR="00B94BCD" w:rsidRDefault="00B94BCD" w:rsidP="00B94BCD">
            <w:pPr>
              <w:pStyle w:val="Table09"/>
              <w:numPr>
                <w:ilvl w:val="0"/>
                <w:numId w:val="2"/>
              </w:numPr>
              <w:ind w:left="279" w:hanging="180"/>
            </w:pPr>
            <w:r w:rsidRPr="00B94BCD">
              <w:t xml:space="preserve">Proportion of patients </w:t>
            </w:r>
            <w:r>
              <w:t xml:space="preserve">who </w:t>
            </w:r>
            <w:r w:rsidRPr="00B94BCD">
              <w:t>achieved total confirmed abstinence</w:t>
            </w:r>
            <w:r w:rsidR="00703584">
              <w:t xml:space="preserve">:  </w:t>
            </w:r>
            <w:r w:rsidR="00703584">
              <w:rPr>
                <w:bCs/>
              </w:rPr>
              <w:t>36% vs. 23%; RR 1.58 (1.06–2.36);</w:t>
            </w:r>
            <w:r w:rsidRPr="00B94BCD">
              <w:t xml:space="preserve"> </w:t>
            </w:r>
            <w:r w:rsidR="00F85A89">
              <w:rPr>
                <w:rFonts w:eastAsia="Times New Roman"/>
              </w:rPr>
              <w:t>NNT 8 (95% CI 5–55)</w:t>
            </w:r>
          </w:p>
          <w:p w:rsidR="00B94BCD" w:rsidRDefault="00B94BCD" w:rsidP="00B94BCD">
            <w:pPr>
              <w:pStyle w:val="Table09"/>
              <w:numPr>
                <w:ilvl w:val="0"/>
                <w:numId w:val="2"/>
              </w:numPr>
              <w:ind w:left="279" w:hanging="180"/>
            </w:pPr>
            <w:r w:rsidRPr="00B94BCD">
              <w:t>Reduction in opioid craving</w:t>
            </w:r>
            <w:r w:rsidR="00382D5D">
              <w:t xml:space="preserve"> from baseline:  </w:t>
            </w:r>
            <w:r w:rsidR="00382D5D">
              <w:rPr>
                <w:bCs/>
              </w:rPr>
              <w:t>–10.1 vs. 0.7</w:t>
            </w:r>
          </w:p>
          <w:p w:rsidR="00B94BCD" w:rsidRDefault="00B94BCD" w:rsidP="00B94BCD">
            <w:pPr>
              <w:pStyle w:val="Table09"/>
              <w:numPr>
                <w:ilvl w:val="0"/>
                <w:numId w:val="2"/>
              </w:numPr>
              <w:ind w:left="279" w:hanging="180"/>
            </w:pPr>
            <w:r w:rsidRPr="00B94BCD">
              <w:t xml:space="preserve">Treatment retention </w:t>
            </w:r>
            <w:r w:rsidR="00566B8B">
              <w:t>duration</w:t>
            </w:r>
            <w:r w:rsidR="00382D5D">
              <w:t xml:space="preserve">:  </w:t>
            </w:r>
            <w:r w:rsidR="00382D5D" w:rsidRPr="00382D5D">
              <w:rPr>
                <w:bCs/>
              </w:rPr>
              <w:t>&gt;168 d vs. 96 d; RR 0.61 (0.44–0.86)</w:t>
            </w:r>
            <w:r w:rsidRPr="00B94BCD">
              <w:t xml:space="preserve"> </w:t>
            </w:r>
          </w:p>
          <w:p w:rsidR="00B94BCD" w:rsidRDefault="006248C3" w:rsidP="00B94BCD">
            <w:pPr>
              <w:pStyle w:val="Table09"/>
            </w:pPr>
            <w:r>
              <w:t>ER-NTX</w:t>
            </w:r>
            <w:r w:rsidR="00B94BCD" w:rsidRPr="00B94BCD">
              <w:t xml:space="preserve"> was generally well tolerated</w:t>
            </w:r>
            <w:r w:rsidR="00B94BCD">
              <w:t>.</w:t>
            </w:r>
          </w:p>
        </w:tc>
      </w:tr>
      <w:tr w:rsidR="001820FA" w:rsidTr="00B41944">
        <w:tc>
          <w:tcPr>
            <w:tcW w:w="0" w:type="auto"/>
            <w:tcBorders>
              <w:top w:val="single" w:sz="4" w:space="0" w:color="BFBFBF" w:themeColor="background1" w:themeShade="BF"/>
            </w:tcBorders>
          </w:tcPr>
          <w:p w:rsidR="00971728" w:rsidRDefault="00971728" w:rsidP="00172194">
            <w:pPr>
              <w:pStyle w:val="Table09"/>
            </w:pPr>
            <w:r>
              <w:t>Mitchell (2012)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</w:tcBorders>
          </w:tcPr>
          <w:p w:rsidR="00971728" w:rsidRDefault="00971728" w:rsidP="00172194">
            <w:pPr>
              <w:pStyle w:val="Table09"/>
            </w:pPr>
            <w:r>
              <w:t xml:space="preserve">Hepatic safety subgroup analysis </w:t>
            </w:r>
            <w:r w:rsidR="00777FA5">
              <w:t xml:space="preserve">by HIV status (substudy </w:t>
            </w:r>
            <w:r>
              <w:t>of Krupitsky (2011)</w:t>
            </w:r>
            <w:r w:rsidR="00777FA5">
              <w:t>)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</w:tcBorders>
          </w:tcPr>
          <w:p w:rsidR="00971728" w:rsidRDefault="00971728" w:rsidP="00172194">
            <w:pPr>
              <w:pStyle w:val="Table09"/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</w:tcBorders>
          </w:tcPr>
          <w:p w:rsidR="00667108" w:rsidRDefault="00667108" w:rsidP="00667108">
            <w:pPr>
              <w:pStyle w:val="Table09"/>
            </w:pPr>
            <w:r>
              <w:t>There were n</w:t>
            </w:r>
            <w:r w:rsidRPr="00667108">
              <w:t xml:space="preserve">o cases of continued or persistent increase in </w:t>
            </w:r>
            <w:r>
              <w:t>LETs</w:t>
            </w:r>
            <w:r w:rsidRPr="00667108">
              <w:t xml:space="preserve">; </w:t>
            </w:r>
            <w:r>
              <w:t>LETs</w:t>
            </w:r>
            <w:r w:rsidRPr="00667108">
              <w:t xml:space="preserve"> improved and returned toward BL despite continued tx in all pts in both </w:t>
            </w:r>
            <w:r>
              <w:t xml:space="preserve">tx </w:t>
            </w:r>
            <w:r w:rsidRPr="00667108">
              <w:t xml:space="preserve">groups. </w:t>
            </w:r>
          </w:p>
          <w:p w:rsidR="00667108" w:rsidRDefault="001820FA" w:rsidP="00667108">
            <w:pPr>
              <w:pStyle w:val="Table09"/>
            </w:pPr>
            <w:r>
              <w:t xml:space="preserve">The incidence of </w:t>
            </w:r>
            <w:r w:rsidR="00667108">
              <w:t xml:space="preserve">Increased </w:t>
            </w:r>
            <w:r w:rsidR="00667108" w:rsidRPr="00667108">
              <w:t>AST, ALT, and</w:t>
            </w:r>
            <w:r w:rsidR="00667108">
              <w:t xml:space="preserve"> </w:t>
            </w:r>
            <w:r w:rsidR="00667108" w:rsidRPr="00667108">
              <w:t xml:space="preserve">GGT greater than three times the ULN </w:t>
            </w:r>
            <w:r>
              <w:t>was numerically but not statistically higher</w:t>
            </w:r>
            <w:r w:rsidR="00667108" w:rsidRPr="00667108">
              <w:t xml:space="preserve"> in HIV-positive patients receiving </w:t>
            </w:r>
            <w:r w:rsidR="006248C3">
              <w:t>ER-NTX</w:t>
            </w:r>
            <w:r w:rsidR="00667108" w:rsidRPr="00667108">
              <w:t xml:space="preserve"> than in</w:t>
            </w:r>
            <w:r w:rsidR="00667108">
              <w:t xml:space="preserve"> </w:t>
            </w:r>
            <w:r w:rsidR="00667108" w:rsidRPr="00667108">
              <w:t>those on placebo during weeks 4 and 8</w:t>
            </w:r>
            <w:r w:rsidR="00667108">
              <w:t>.</w:t>
            </w:r>
          </w:p>
          <w:p w:rsidR="00971728" w:rsidRDefault="006248C3" w:rsidP="00667108">
            <w:pPr>
              <w:pStyle w:val="Table09"/>
            </w:pPr>
            <w:r>
              <w:t>ER-NTX</w:t>
            </w:r>
            <w:r w:rsidR="00971728">
              <w:t xml:space="preserve"> can be used safely in pts with opioid dependence, even those with underlying chronic HCV and/or HIV infections.</w:t>
            </w:r>
          </w:p>
        </w:tc>
      </w:tr>
      <w:tr w:rsidR="001820FA" w:rsidTr="00566B8B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4BCD" w:rsidRDefault="008105B6" w:rsidP="00B94BCD">
            <w:pPr>
              <w:pStyle w:val="Table09"/>
            </w:pPr>
            <w:r>
              <w:t>Krupitsky (2013)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4BCD" w:rsidRDefault="008105B6" w:rsidP="008105B6">
            <w:pPr>
              <w:pStyle w:val="Table09"/>
            </w:pPr>
            <w:r>
              <w:t xml:space="preserve">1-yr open-label </w:t>
            </w:r>
            <w:r w:rsidRPr="00102057">
              <w:t>long-term safety and effectiveness</w:t>
            </w:r>
            <w:r>
              <w:t xml:space="preserve"> </w:t>
            </w:r>
            <w:r w:rsidR="00542A9B">
              <w:t xml:space="preserve">observational </w:t>
            </w:r>
            <w:r>
              <w:t>extension study</w:t>
            </w:r>
          </w:p>
          <w:p w:rsidR="00566B8B" w:rsidRDefault="00566B8B" w:rsidP="008105B6">
            <w:pPr>
              <w:pStyle w:val="Table09"/>
            </w:pPr>
            <w:r>
              <w:t xml:space="preserve">114 opioid-dependent patients from RCT who continued on or were switched from PBO to </w:t>
            </w:r>
            <w:r w:rsidR="006248C3">
              <w:t>ER-NTX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4BCD" w:rsidRDefault="00B94BCD" w:rsidP="008105B6">
            <w:pPr>
              <w:pStyle w:val="Table09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6B8B" w:rsidRDefault="00566B8B" w:rsidP="00B94BCD">
            <w:pPr>
              <w:pStyle w:val="Table09"/>
            </w:pPr>
            <w:r>
              <w:t>Responses seen in the DB RCT were maintained during the 1-yr extension trial:</w:t>
            </w:r>
          </w:p>
          <w:p w:rsidR="008105B6" w:rsidRDefault="008105B6" w:rsidP="00566B8B">
            <w:pPr>
              <w:pStyle w:val="Table09"/>
              <w:numPr>
                <w:ilvl w:val="0"/>
                <w:numId w:val="3"/>
              </w:numPr>
              <w:ind w:left="362" w:hanging="231"/>
            </w:pPr>
            <w:r w:rsidRPr="00102057">
              <w:t>62.3% of patients completed the phase</w:t>
            </w:r>
          </w:p>
          <w:p w:rsidR="008105B6" w:rsidRDefault="008105B6" w:rsidP="00566B8B">
            <w:pPr>
              <w:pStyle w:val="Table09"/>
              <w:numPr>
                <w:ilvl w:val="0"/>
                <w:numId w:val="3"/>
              </w:numPr>
              <w:ind w:left="362" w:hanging="231"/>
            </w:pPr>
            <w:r w:rsidRPr="00102057">
              <w:t xml:space="preserve">50.9% were abstinent from opioids </w:t>
            </w:r>
          </w:p>
          <w:p w:rsidR="00B94BCD" w:rsidRDefault="008105B6" w:rsidP="008105B6">
            <w:pPr>
              <w:pStyle w:val="Table09"/>
            </w:pPr>
            <w:r w:rsidRPr="00102057">
              <w:t>No new safety concerns</w:t>
            </w:r>
            <w:r>
              <w:t>.</w:t>
            </w:r>
            <w:r w:rsidRPr="00102057">
              <w:t xml:space="preserve"> </w:t>
            </w:r>
          </w:p>
        </w:tc>
      </w:tr>
    </w:tbl>
    <w:p w:rsidR="00B94BCD" w:rsidRDefault="00B94BCD"/>
    <w:p w:rsidR="00FD470E" w:rsidRDefault="00FD470E" w:rsidP="00FD470E">
      <w:pPr>
        <w:pStyle w:val="Caption"/>
      </w:pPr>
      <w:r>
        <w:lastRenderedPageBreak/>
        <w:t xml:space="preserve">Table </w:t>
      </w:r>
      <w:fldSimple w:instr=" SEQ Table \* ARABIC ">
        <w:r>
          <w:rPr>
            <w:noProof/>
          </w:rPr>
          <w:t>2</w:t>
        </w:r>
      </w:fldSimple>
      <w:r>
        <w:tab/>
        <w:t>Study Methods</w:t>
      </w:r>
      <w:r w:rsidR="00B41944">
        <w:t xml:space="preserve">: </w:t>
      </w:r>
      <w:r w:rsidR="00B41944" w:rsidRPr="00B41944">
        <w:t xml:space="preserve"> </w:t>
      </w:r>
      <w:r w:rsidR="00B41944">
        <w:t>Naltrexone ER Injection in Opioid Dependence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0"/>
        <w:gridCol w:w="2876"/>
        <w:gridCol w:w="1566"/>
        <w:gridCol w:w="2064"/>
        <w:gridCol w:w="2530"/>
      </w:tblGrid>
      <w:tr w:rsidR="00971728" w:rsidRPr="00597172" w:rsidTr="0048754D">
        <w:trPr>
          <w:tblHeader/>
        </w:trPr>
        <w:tc>
          <w:tcPr>
            <w:tcW w:w="0" w:type="auto"/>
            <w:shd w:val="solid" w:color="000000" w:fill="FFFFFF"/>
            <w:vAlign w:val="bottom"/>
          </w:tcPr>
          <w:p w:rsidR="00597172" w:rsidRPr="00597172" w:rsidRDefault="00597172" w:rsidP="00597172">
            <w:pPr>
              <w:pStyle w:val="Table09"/>
            </w:pPr>
            <w:r w:rsidRPr="00597172">
              <w:t>Methods</w:t>
            </w:r>
          </w:p>
        </w:tc>
        <w:tc>
          <w:tcPr>
            <w:tcW w:w="0" w:type="auto"/>
            <w:shd w:val="solid" w:color="000000" w:fill="FFFFFF"/>
            <w:vAlign w:val="bottom"/>
          </w:tcPr>
          <w:p w:rsidR="00597172" w:rsidRPr="00597172" w:rsidRDefault="00597172" w:rsidP="00597172">
            <w:pPr>
              <w:pStyle w:val="Table09"/>
            </w:pPr>
            <w:r w:rsidRPr="00597172">
              <w:t>Participants</w:t>
            </w:r>
          </w:p>
        </w:tc>
        <w:tc>
          <w:tcPr>
            <w:tcW w:w="0" w:type="auto"/>
            <w:shd w:val="solid" w:color="000000" w:fill="FFFFFF"/>
            <w:vAlign w:val="bottom"/>
          </w:tcPr>
          <w:p w:rsidR="00597172" w:rsidRPr="00597172" w:rsidRDefault="00597172" w:rsidP="00597172">
            <w:pPr>
              <w:pStyle w:val="Table09"/>
            </w:pPr>
            <w:r w:rsidRPr="00597172">
              <w:t>Interventions</w:t>
            </w:r>
          </w:p>
        </w:tc>
        <w:tc>
          <w:tcPr>
            <w:tcW w:w="0" w:type="auto"/>
            <w:shd w:val="solid" w:color="000000" w:fill="FFFFFF"/>
            <w:vAlign w:val="bottom"/>
          </w:tcPr>
          <w:p w:rsidR="00597172" w:rsidRPr="00597172" w:rsidRDefault="00597172" w:rsidP="00597172">
            <w:pPr>
              <w:pStyle w:val="Table09"/>
            </w:pPr>
            <w:r w:rsidRPr="00597172">
              <w:t>Outcomes</w:t>
            </w:r>
          </w:p>
        </w:tc>
        <w:tc>
          <w:tcPr>
            <w:tcW w:w="0" w:type="auto"/>
            <w:shd w:val="solid" w:color="000000" w:fill="FFFFFF"/>
            <w:vAlign w:val="bottom"/>
          </w:tcPr>
          <w:p w:rsidR="00597172" w:rsidRPr="00597172" w:rsidRDefault="00597172" w:rsidP="00597172">
            <w:pPr>
              <w:pStyle w:val="Table09"/>
            </w:pPr>
            <w:r w:rsidRPr="00597172">
              <w:t>Funding,</w:t>
            </w:r>
          </w:p>
          <w:p w:rsidR="00597172" w:rsidRPr="00597172" w:rsidRDefault="00597172" w:rsidP="00597172">
            <w:pPr>
              <w:pStyle w:val="Table09"/>
            </w:pPr>
            <w:r w:rsidRPr="00597172">
              <w:t>Quality, Notes</w:t>
            </w:r>
          </w:p>
        </w:tc>
      </w:tr>
      <w:tr w:rsidR="00597172" w:rsidRPr="00A977FA" w:rsidTr="0048754D">
        <w:tc>
          <w:tcPr>
            <w:tcW w:w="0" w:type="auto"/>
            <w:gridSpan w:val="5"/>
            <w:tcBorders>
              <w:top w:val="single" w:sz="4" w:space="0" w:color="BFBFBF"/>
            </w:tcBorders>
            <w:shd w:val="clear" w:color="auto" w:fill="BFBFBF"/>
          </w:tcPr>
          <w:p w:rsidR="00597172" w:rsidRPr="00A977FA" w:rsidRDefault="00B45AC7" w:rsidP="00A977FA">
            <w:pPr>
              <w:pStyle w:val="Table09"/>
            </w:pPr>
            <w:r w:rsidRPr="00A977FA">
              <w:t xml:space="preserve">Krupitsky E, </w:t>
            </w:r>
            <w:r w:rsidRPr="00A977FA">
              <w:rPr>
                <w:bCs/>
              </w:rPr>
              <w:t>Nunes EV</w:t>
            </w:r>
            <w:r w:rsidRPr="00A977FA">
              <w:t xml:space="preserve">, </w:t>
            </w:r>
            <w:r w:rsidRPr="00A977FA">
              <w:rPr>
                <w:bCs/>
              </w:rPr>
              <w:t>Ling W</w:t>
            </w:r>
            <w:r w:rsidRPr="00A977FA">
              <w:t xml:space="preserve">, </w:t>
            </w:r>
            <w:r w:rsidRPr="00A977FA">
              <w:rPr>
                <w:bCs/>
              </w:rPr>
              <w:t>Illeperuma A</w:t>
            </w:r>
            <w:r w:rsidRPr="00A977FA">
              <w:t xml:space="preserve">, </w:t>
            </w:r>
            <w:r w:rsidRPr="00A977FA">
              <w:rPr>
                <w:bCs/>
              </w:rPr>
              <w:t>Gastfriend DR</w:t>
            </w:r>
            <w:r w:rsidRPr="00A977FA">
              <w:t xml:space="preserve">, </w:t>
            </w:r>
            <w:r w:rsidRPr="00A977FA">
              <w:rPr>
                <w:bCs/>
              </w:rPr>
              <w:t>Silverman BL.</w:t>
            </w:r>
            <w:r w:rsidR="00A977FA" w:rsidRPr="00A977FA">
              <w:rPr>
                <w:bCs/>
              </w:rPr>
              <w:t xml:space="preserve"> </w:t>
            </w:r>
            <w:r w:rsidRPr="00A977FA">
              <w:t>Injectable extended-release naltrexone for opioid dependence: a double-blind, placebo-controlled, multicentre randomised trial.</w:t>
            </w:r>
            <w:r w:rsidR="00A977FA" w:rsidRPr="00A977FA">
              <w:t xml:space="preserve"> </w:t>
            </w:r>
            <w:r w:rsidRPr="00A977FA">
              <w:t>Lancet. 2011 Apr 30;377(9776):1506-13.</w:t>
            </w:r>
          </w:p>
        </w:tc>
      </w:tr>
      <w:tr w:rsidR="00971728" w:rsidRPr="00597172" w:rsidTr="0048754D">
        <w:tc>
          <w:tcPr>
            <w:tcW w:w="0" w:type="auto"/>
          </w:tcPr>
          <w:p w:rsidR="00597172" w:rsidRDefault="00A977FA" w:rsidP="00E3639F">
            <w:pPr>
              <w:pStyle w:val="Table09"/>
            </w:pPr>
            <w:r>
              <w:t xml:space="preserve">24-wk, 13-site MC </w:t>
            </w:r>
            <w:r w:rsidR="004A5FBA">
              <w:t xml:space="preserve">DB </w:t>
            </w:r>
            <w:r>
              <w:t xml:space="preserve">PC </w:t>
            </w:r>
            <w:r w:rsidR="00B94BCD" w:rsidRPr="00B94BCD">
              <w:t xml:space="preserve">phase III </w:t>
            </w:r>
            <w:r w:rsidR="00B94BCD">
              <w:t>RCT</w:t>
            </w:r>
            <w:r w:rsidR="00B94BCD" w:rsidRPr="00B94BCD">
              <w:rPr>
                <w:rFonts w:eastAsia="Calibri"/>
                <w:sz w:val="22"/>
                <w:szCs w:val="20"/>
                <w:lang w:bidi="ar-SA"/>
              </w:rPr>
              <w:t xml:space="preserve"> </w:t>
            </w:r>
            <w:r w:rsidR="00B94BCD" w:rsidRPr="00B94BCD">
              <w:t>(ALK21-013</w:t>
            </w:r>
            <w:r w:rsidR="00B94BCD">
              <w:t>)</w:t>
            </w:r>
            <w:r>
              <w:t xml:space="preserve"> in Russia</w:t>
            </w:r>
          </w:p>
          <w:p w:rsidR="004A5FBA" w:rsidRPr="00597172" w:rsidRDefault="00816BB1" w:rsidP="00E3639F">
            <w:pPr>
              <w:pStyle w:val="Table09"/>
            </w:pPr>
            <w:r>
              <w:t>ITT, LOCF. Multiplicity correction was used for craving and retention outcomes.</w:t>
            </w:r>
          </w:p>
        </w:tc>
        <w:tc>
          <w:tcPr>
            <w:tcW w:w="0" w:type="auto"/>
          </w:tcPr>
          <w:p w:rsidR="00597172" w:rsidRDefault="00A977FA" w:rsidP="00E3639F">
            <w:pPr>
              <w:pStyle w:val="Table09"/>
            </w:pPr>
            <w:r>
              <w:t>≥ 18 yo; DSM-IV dx of opioid dependence; completing inpatient opioid detoxification (≤ 30 d); off opioids for at least 7 d; voluntarily seeking</w:t>
            </w:r>
            <w:r w:rsidR="00EA7F59">
              <w:t xml:space="preserve"> </w:t>
            </w:r>
            <w:r>
              <w:t xml:space="preserve"> tx (not under justice system coercion); supervised by significant other</w:t>
            </w:r>
            <w:r w:rsidR="004A5FBA">
              <w:t xml:space="preserve"> to adhere to study procedures.</w:t>
            </w:r>
          </w:p>
          <w:p w:rsidR="00B24C75" w:rsidRDefault="00B24C75" w:rsidP="00E3639F">
            <w:pPr>
              <w:pStyle w:val="Table09"/>
            </w:pPr>
            <w:r>
              <w:t>Primarily young (29 yo), male (88%), white (99%), addicted to heroin for about 10 years.</w:t>
            </w:r>
          </w:p>
          <w:p w:rsidR="004A5FBA" w:rsidRDefault="004A5FBA" w:rsidP="00E3639F">
            <w:pPr>
              <w:pStyle w:val="Table09"/>
            </w:pPr>
            <w:r>
              <w:t>Excluded pregnancy, breastfeeding, significant medical conditions, positive naloxone challenge; hepatic failure; hx of AIDS-indicator disease; active hepatitis or AST or ALT &gt;3x ULN; intolerance or hypersensitivity to naltrexone, carmellose, or polylactide-co-glycolide; psychosis; bipolar disorder; major depressive disorder with suicidal ideation; present dependence on substances other than opioids or heroin, including alcohol; positive urine test for cocaine or amphetamines; naltrexone use within past 6 mo.</w:t>
            </w:r>
          </w:p>
          <w:p w:rsidR="000C0E27" w:rsidRDefault="000C0E27" w:rsidP="00E3639F">
            <w:pPr>
              <w:pStyle w:val="Table09"/>
            </w:pPr>
            <w:r>
              <w:t xml:space="preserve">Prohibited </w:t>
            </w:r>
            <w:r w:rsidRPr="000C0E27">
              <w:t>drugs: naltrexone, buprenorphine, levacetylmethadol,</w:t>
            </w:r>
            <w:r>
              <w:t xml:space="preserve"> </w:t>
            </w:r>
            <w:r w:rsidRPr="000C0E27">
              <w:t>methadone, other prescription opioids, antipsychotics,</w:t>
            </w:r>
            <w:r>
              <w:t xml:space="preserve"> </w:t>
            </w:r>
            <w:r w:rsidRPr="000C0E27">
              <w:t xml:space="preserve">anticonvulsants, antidepressants, and anxiolytics. </w:t>
            </w:r>
          </w:p>
          <w:p w:rsidR="000C0E27" w:rsidRPr="00597172" w:rsidRDefault="000C0E27" w:rsidP="00E3639F">
            <w:pPr>
              <w:pStyle w:val="Table09"/>
            </w:pPr>
            <w:r w:rsidRPr="000C0E27">
              <w:t>Permitted</w:t>
            </w:r>
            <w:r>
              <w:t xml:space="preserve"> co-</w:t>
            </w:r>
            <w:r w:rsidRPr="000C0E27">
              <w:t>drugs</w:t>
            </w:r>
            <w:r>
              <w:t>:</w:t>
            </w:r>
            <w:r w:rsidRPr="000C0E27">
              <w:t xml:space="preserve"> </w:t>
            </w:r>
            <w:r>
              <w:t xml:space="preserve"> </w:t>
            </w:r>
            <w:r w:rsidRPr="000C0E27">
              <w:t>anticonvulsants if dosing was stable</w:t>
            </w:r>
            <w:r>
              <w:t xml:space="preserve">; </w:t>
            </w:r>
            <w:r w:rsidRPr="000C0E27">
              <w:t>and short-acting insomnia drugs, such as zopiclone,</w:t>
            </w:r>
            <w:r>
              <w:t xml:space="preserve"> </w:t>
            </w:r>
            <w:r w:rsidRPr="000C0E27">
              <w:t>as required.</w:t>
            </w:r>
          </w:p>
        </w:tc>
        <w:tc>
          <w:tcPr>
            <w:tcW w:w="0" w:type="auto"/>
          </w:tcPr>
          <w:p w:rsidR="00597172" w:rsidRDefault="006248C3" w:rsidP="00E3639F">
            <w:pPr>
              <w:pStyle w:val="Table09"/>
            </w:pPr>
            <w:r>
              <w:t>ER-NTX</w:t>
            </w:r>
            <w:r w:rsidR="004A5FBA">
              <w:t xml:space="preserve"> 380 mg i.m. within 1 wk of detox then q4wk thereafter </w:t>
            </w:r>
          </w:p>
          <w:p w:rsidR="004A5FBA" w:rsidRDefault="004A5FBA" w:rsidP="00E3639F">
            <w:pPr>
              <w:pStyle w:val="Table09"/>
            </w:pPr>
            <w:r>
              <w:t>PBO</w:t>
            </w:r>
          </w:p>
          <w:p w:rsidR="004A5FBA" w:rsidRDefault="004A5FBA" w:rsidP="00E3639F">
            <w:pPr>
              <w:pStyle w:val="Table09"/>
            </w:pPr>
            <w:r>
              <w:t>24 wk (6 injections)</w:t>
            </w:r>
          </w:p>
          <w:p w:rsidR="004A5FBA" w:rsidRDefault="0047282A" w:rsidP="00E3639F">
            <w:pPr>
              <w:pStyle w:val="Table09"/>
            </w:pPr>
            <w:r>
              <w:t>Offered 12 biweekly session of i</w:t>
            </w:r>
            <w:r w:rsidR="004A5FBA">
              <w:t xml:space="preserve">ndividual drug counseling </w:t>
            </w:r>
          </w:p>
          <w:p w:rsidR="004A5FBA" w:rsidRPr="00597172" w:rsidRDefault="004A5FBA" w:rsidP="00E3639F">
            <w:pPr>
              <w:pStyle w:val="Table09"/>
            </w:pPr>
            <w:r>
              <w:t>UDS for morphine and methadone qwk</w:t>
            </w:r>
          </w:p>
        </w:tc>
        <w:tc>
          <w:tcPr>
            <w:tcW w:w="0" w:type="auto"/>
          </w:tcPr>
          <w:p w:rsidR="00597172" w:rsidRDefault="000C0E27" w:rsidP="00E3639F">
            <w:pPr>
              <w:pStyle w:val="Table09"/>
            </w:pPr>
            <w:r>
              <w:t xml:space="preserve">POM:  </w:t>
            </w:r>
            <w:r w:rsidRPr="000C0E27">
              <w:rPr>
                <w:i/>
              </w:rPr>
              <w:t>Confirmed abstinence</w:t>
            </w:r>
            <w:r>
              <w:t xml:space="preserve"> </w:t>
            </w:r>
            <w:r w:rsidR="00816BB1">
              <w:t xml:space="preserve">response profiles (i.e., </w:t>
            </w:r>
            <w:r w:rsidR="00816BB1" w:rsidRPr="00816BB1">
              <w:t>the cumulative percent of opioid-free weeks</w:t>
            </w:r>
            <w:r w:rsidR="00816BB1">
              <w:t>)</w:t>
            </w:r>
            <w:r w:rsidR="00816BB1" w:rsidRPr="00816BB1">
              <w:t xml:space="preserve"> </w:t>
            </w:r>
            <w:r>
              <w:t>during wks 5–24</w:t>
            </w:r>
            <w:r w:rsidR="00FC6FF1">
              <w:t>; confirmed abstinence responders</w:t>
            </w:r>
            <w:r>
              <w:t xml:space="preserve">. </w:t>
            </w:r>
            <w:r w:rsidRPr="000C0E27">
              <w:t>Confirmed abstinence was defined as a negative urine</w:t>
            </w:r>
            <w:r>
              <w:t xml:space="preserve"> </w:t>
            </w:r>
            <w:r w:rsidRPr="000C0E27">
              <w:t>drug test and no self-reported opioid use on the timeline</w:t>
            </w:r>
            <w:r>
              <w:t xml:space="preserve"> </w:t>
            </w:r>
            <w:r w:rsidRPr="000C0E27">
              <w:t>follow-back (TLFB) survey</w:t>
            </w:r>
            <w:r>
              <w:t>.</w:t>
            </w:r>
          </w:p>
          <w:p w:rsidR="000C0E27" w:rsidRDefault="000C0E27" w:rsidP="00E3639F">
            <w:pPr>
              <w:pStyle w:val="Table09"/>
            </w:pPr>
            <w:r>
              <w:t>SOMs:  self-reported opioid-free days on TLFB; opioid craving scores (VAS 0–100); number of days of retention; relapse to physiologic opioid dependence (</w:t>
            </w:r>
            <w:r w:rsidR="00816BB1">
              <w:t>naloxone challenge test)</w:t>
            </w:r>
            <w:r>
              <w:t>.</w:t>
            </w:r>
          </w:p>
          <w:p w:rsidR="00816BB1" w:rsidRDefault="00816BB1" w:rsidP="00E3639F">
            <w:pPr>
              <w:pStyle w:val="Table09"/>
            </w:pPr>
            <w:r>
              <w:t>Other:  HIV risk; SF-36; EuroQol-5 general health; CGI.</w:t>
            </w:r>
          </w:p>
          <w:p w:rsidR="00816BB1" w:rsidRPr="00597172" w:rsidRDefault="00816BB1" w:rsidP="00E3639F">
            <w:pPr>
              <w:pStyle w:val="Table09"/>
            </w:pPr>
            <w:r>
              <w:t>Safety:  TEAEs; VS; labs including LFTs; injection site; EKGs</w:t>
            </w:r>
          </w:p>
        </w:tc>
        <w:tc>
          <w:tcPr>
            <w:tcW w:w="0" w:type="auto"/>
          </w:tcPr>
          <w:p w:rsidR="00240D68" w:rsidRDefault="00240D68" w:rsidP="00E3639F">
            <w:pPr>
              <w:pStyle w:val="Table09"/>
            </w:pPr>
            <w:r>
              <w:t xml:space="preserve">Sponsor:  Alkermes </w:t>
            </w:r>
          </w:p>
          <w:p w:rsidR="00240D68" w:rsidRDefault="00240D68" w:rsidP="00E3639F">
            <w:pPr>
              <w:pStyle w:val="Table09"/>
            </w:pPr>
            <w:r>
              <w:t>GRADE:  Moderate</w:t>
            </w:r>
          </w:p>
          <w:p w:rsidR="00597172" w:rsidRDefault="00EA7F59" w:rsidP="00E3639F">
            <w:pPr>
              <w:pStyle w:val="Table09"/>
            </w:pPr>
            <w:r>
              <w:t>P</w:t>
            </w:r>
            <w:r w:rsidR="00240D68">
              <w:t xml:space="preserve">ts may have challenged the study tx and been unblinded (pts on PBO could get high on opioids). </w:t>
            </w:r>
            <w:r>
              <w:t xml:space="preserve">Wks 1–4 were prospectively omitted from the POM. </w:t>
            </w:r>
            <w:r w:rsidR="00240D68">
              <w:t xml:space="preserve">Results </w:t>
            </w:r>
            <w:r>
              <w:t>reflect</w:t>
            </w:r>
            <w:r w:rsidR="000C0E27">
              <w:t xml:space="preserve"> the more stable period of abstinence (5–24 wk) and may </w:t>
            </w:r>
            <w:r>
              <w:t>be</w:t>
            </w:r>
            <w:r w:rsidR="000C0E27">
              <w:t xml:space="preserve"> biased</w:t>
            </w:r>
            <w:r>
              <w:t>.</w:t>
            </w:r>
          </w:p>
          <w:p w:rsidR="004A5FBA" w:rsidRDefault="001771FC" w:rsidP="00E3639F">
            <w:pPr>
              <w:pStyle w:val="Table09"/>
            </w:pPr>
            <w:r>
              <w:t xml:space="preserve">Only 45.6% of all patients completed the study, with </w:t>
            </w:r>
            <w:r w:rsidR="00240D68">
              <w:t>a</w:t>
            </w:r>
            <w:r w:rsidR="00F253AF">
              <w:t xml:space="preserve"> relatively large</w:t>
            </w:r>
            <w:r w:rsidR="00240D68">
              <w:t xml:space="preserve"> absolute diff of 15.3% in completion rates between tx groups</w:t>
            </w:r>
            <w:r w:rsidR="00F253AF">
              <w:t xml:space="preserve"> favoring NTX IMI</w:t>
            </w:r>
            <w:r w:rsidR="00240D68">
              <w:t>.</w:t>
            </w:r>
          </w:p>
          <w:p w:rsidR="00F253AF" w:rsidRPr="00597172" w:rsidRDefault="00EA7F59" w:rsidP="00E3639F">
            <w:pPr>
              <w:pStyle w:val="Table09"/>
            </w:pPr>
            <w:r>
              <w:t>External Validity to VA:  Possible</w:t>
            </w:r>
            <w:r w:rsidR="00971728">
              <w:t xml:space="preserve"> in some pts</w:t>
            </w:r>
            <w:r w:rsidR="00F253AF">
              <w:t xml:space="preserve">, particularly in </w:t>
            </w:r>
            <w:r w:rsidR="005B2C33">
              <w:t>young age, male, HIV+, HCV+</w:t>
            </w:r>
            <w:r w:rsidR="00971728">
              <w:t>, without serious active medical or psychiatric illnesses, and</w:t>
            </w:r>
            <w:r w:rsidR="00F253AF">
              <w:t xml:space="preserve"> not on the excluded co-drugs</w:t>
            </w:r>
            <w:r w:rsidR="005B2C33">
              <w:t>. Diffs in country and health care system.</w:t>
            </w:r>
            <w:r w:rsidR="00F253AF" w:rsidRPr="00971728">
              <w:rPr>
                <w:rFonts w:eastAsia="ScalaLancetPro" w:cs="Arial"/>
              </w:rPr>
              <w:t xml:space="preserve"> </w:t>
            </w:r>
            <w:r w:rsidR="00971728" w:rsidRPr="00971728">
              <w:rPr>
                <w:rFonts w:eastAsia="ScalaLancetPro" w:cs="Arial"/>
              </w:rPr>
              <w:t xml:space="preserve">Study authors suggested that </w:t>
            </w:r>
            <w:r w:rsidR="006248C3">
              <w:rPr>
                <w:rFonts w:eastAsia="ScalaLancetPro" w:cs="Arial"/>
              </w:rPr>
              <w:t>ER-NTX</w:t>
            </w:r>
            <w:r w:rsidR="00971728" w:rsidRPr="00971728">
              <w:rPr>
                <w:rFonts w:eastAsia="ScalaLancetPro" w:cs="Arial"/>
              </w:rPr>
              <w:t xml:space="preserve"> m</w:t>
            </w:r>
            <w:r w:rsidR="00F253AF" w:rsidRPr="00971728">
              <w:rPr>
                <w:rFonts w:eastAsia="ScalaLancetPro" w:cs="Arial"/>
              </w:rPr>
              <w:t>ay</w:t>
            </w:r>
            <w:r w:rsidR="00F253AF" w:rsidRPr="00F253AF">
              <w:rPr>
                <w:rFonts w:eastAsia="ScalaLancetPro" w:cs="Arial"/>
              </w:rPr>
              <w:t xml:space="preserve"> be</w:t>
            </w:r>
            <w:r w:rsidR="00F253AF">
              <w:rPr>
                <w:rFonts w:ascii="ScalaLancetPro" w:eastAsia="ScalaLancetPro" w:cs="ScalaLancetPro"/>
              </w:rPr>
              <w:t xml:space="preserve"> </w:t>
            </w:r>
            <w:r w:rsidR="00F253AF">
              <w:t xml:space="preserve">a tx to consider in </w:t>
            </w:r>
            <w:r w:rsidR="00F253AF" w:rsidRPr="00F253AF">
              <w:t>those whose employment prohibits opioid use, those with</w:t>
            </w:r>
            <w:r w:rsidR="00F253AF">
              <w:t xml:space="preserve"> </w:t>
            </w:r>
            <w:r w:rsidR="00F253AF" w:rsidRPr="00F253AF">
              <w:t>a relatively recent addiction to opioids, and those who wish</w:t>
            </w:r>
            <w:r w:rsidR="00F253AF">
              <w:t xml:space="preserve"> </w:t>
            </w:r>
            <w:r w:rsidR="00F253AF" w:rsidRPr="00F253AF">
              <w:t>to secure their recovery after a successful course of agonist</w:t>
            </w:r>
            <w:r w:rsidR="00F253AF">
              <w:t xml:space="preserve"> </w:t>
            </w:r>
            <w:r w:rsidR="00F253AF" w:rsidRPr="00F253AF">
              <w:t xml:space="preserve">therapy. </w:t>
            </w:r>
          </w:p>
          <w:p w:rsidR="00816BB1" w:rsidRPr="00597172" w:rsidRDefault="00816BB1" w:rsidP="00E3639F">
            <w:pPr>
              <w:pStyle w:val="Table09"/>
            </w:pPr>
          </w:p>
        </w:tc>
      </w:tr>
      <w:tr w:rsidR="0060781E" w:rsidRPr="00597172" w:rsidTr="00172194">
        <w:tc>
          <w:tcPr>
            <w:tcW w:w="0" w:type="auto"/>
            <w:gridSpan w:val="5"/>
            <w:shd w:val="clear" w:color="auto" w:fill="BFBFBF" w:themeFill="background1" w:themeFillShade="BF"/>
          </w:tcPr>
          <w:p w:rsidR="0060781E" w:rsidRPr="00597172" w:rsidRDefault="0060781E" w:rsidP="00172194">
            <w:pPr>
              <w:pStyle w:val="Table09"/>
            </w:pPr>
            <w:r w:rsidRPr="00E4528E">
              <w:t>Mitchell MC, Memisoglu A, Silverman BL.Hepatic safety of injectable extended-release naltrexone in patients with chronic hepatitis C and HIV infection.</w:t>
            </w:r>
            <w:r>
              <w:t xml:space="preserve"> </w:t>
            </w:r>
            <w:r w:rsidRPr="00E4528E">
              <w:t>J Stud Alcohol Drugs. 2012 Nov;73(6):991-7.</w:t>
            </w:r>
          </w:p>
        </w:tc>
      </w:tr>
      <w:tr w:rsidR="0060781E" w:rsidRPr="00597172" w:rsidTr="00172194">
        <w:tc>
          <w:tcPr>
            <w:tcW w:w="0" w:type="auto"/>
          </w:tcPr>
          <w:p w:rsidR="0060781E" w:rsidRPr="00597172" w:rsidRDefault="0060781E" w:rsidP="00172194">
            <w:pPr>
              <w:pStyle w:val="Table09"/>
              <w:keepNext w:val="0"/>
            </w:pPr>
            <w:r>
              <w:t>Subgroup analysis of Krupitsky (2011)</w:t>
            </w:r>
          </w:p>
        </w:tc>
        <w:tc>
          <w:tcPr>
            <w:tcW w:w="0" w:type="auto"/>
          </w:tcPr>
          <w:p w:rsidR="0060781E" w:rsidRPr="00597172" w:rsidRDefault="0060781E" w:rsidP="00172194">
            <w:pPr>
              <w:pStyle w:val="Table09"/>
              <w:keepNext w:val="0"/>
            </w:pPr>
            <w:r>
              <w:t>See Krupitsky (2011)</w:t>
            </w:r>
          </w:p>
        </w:tc>
        <w:tc>
          <w:tcPr>
            <w:tcW w:w="0" w:type="auto"/>
          </w:tcPr>
          <w:p w:rsidR="0060781E" w:rsidRPr="00597172" w:rsidRDefault="0060781E" w:rsidP="00172194">
            <w:pPr>
              <w:pStyle w:val="Table09"/>
              <w:keepNext w:val="0"/>
            </w:pPr>
          </w:p>
        </w:tc>
        <w:tc>
          <w:tcPr>
            <w:tcW w:w="0" w:type="auto"/>
          </w:tcPr>
          <w:p w:rsidR="0060781E" w:rsidRPr="00597172" w:rsidRDefault="0060781E" w:rsidP="00172194">
            <w:pPr>
              <w:pStyle w:val="Table09"/>
              <w:keepNext w:val="0"/>
            </w:pPr>
          </w:p>
        </w:tc>
        <w:tc>
          <w:tcPr>
            <w:tcW w:w="0" w:type="auto"/>
          </w:tcPr>
          <w:p w:rsidR="0060781E" w:rsidRDefault="0060781E" w:rsidP="00172194">
            <w:pPr>
              <w:pStyle w:val="Table09"/>
            </w:pPr>
            <w:r>
              <w:t xml:space="preserve">Authors noted another study that showed </w:t>
            </w:r>
            <w:r w:rsidRPr="00566B8B">
              <w:t xml:space="preserve">oral naltrexone </w:t>
            </w:r>
            <w:r>
              <w:t xml:space="preserve">was associated with LETs &gt; 3.5x BL values in 2 / 114 pts (1.8%) over a median of 49 d of tx </w:t>
            </w:r>
            <w:r w:rsidRPr="00566B8B">
              <w:t>in</w:t>
            </w:r>
            <w:r>
              <w:t xml:space="preserve"> </w:t>
            </w:r>
            <w:r w:rsidRPr="00566B8B">
              <w:t>veterans with HIV infection, 57% of whom</w:t>
            </w:r>
            <w:r>
              <w:t xml:space="preserve"> </w:t>
            </w:r>
            <w:r w:rsidRPr="00566B8B">
              <w:t>were co-infected with HCV (Tetrault and Fiellin, 2012).</w:t>
            </w:r>
          </w:p>
          <w:p w:rsidR="0060781E" w:rsidRPr="00597172" w:rsidRDefault="0060781E" w:rsidP="00172194">
            <w:pPr>
              <w:pStyle w:val="Table09"/>
            </w:pPr>
            <w:r w:rsidRPr="009A013C">
              <w:t>Alcohol use was not</w:t>
            </w:r>
            <w:r>
              <w:t xml:space="preserve"> tracked</w:t>
            </w:r>
            <w:r w:rsidRPr="009A013C">
              <w:t xml:space="preserve">. </w:t>
            </w:r>
            <w:r>
              <w:t>N</w:t>
            </w:r>
            <w:r w:rsidRPr="009A013C">
              <w:t>o</w:t>
            </w:r>
            <w:r>
              <w:t xml:space="preserve"> </w:t>
            </w:r>
            <w:r w:rsidRPr="009A013C">
              <w:t xml:space="preserve">reported use of </w:t>
            </w:r>
            <w:r>
              <w:t>INH</w:t>
            </w:r>
            <w:r w:rsidRPr="009A013C">
              <w:t>, statins, or other potentially toxic</w:t>
            </w:r>
            <w:r>
              <w:t xml:space="preserve"> </w:t>
            </w:r>
            <w:r w:rsidRPr="009A013C">
              <w:t>drugs except</w:t>
            </w:r>
            <w:r>
              <w:t xml:space="preserve"> 8</w:t>
            </w:r>
            <w:r w:rsidRPr="009A013C">
              <w:t xml:space="preserve"> </w:t>
            </w:r>
            <w:r>
              <w:t>pts</w:t>
            </w:r>
            <w:r w:rsidRPr="009A013C">
              <w:t xml:space="preserve"> reported taking </w:t>
            </w:r>
            <w:r>
              <w:t>APAP</w:t>
            </w:r>
            <w:r w:rsidRPr="009A013C">
              <w:t xml:space="preserve"> </w:t>
            </w:r>
            <w:r>
              <w:t>(NMT</w:t>
            </w:r>
            <w:r w:rsidRPr="009A013C">
              <w:t xml:space="preserve"> 4 g</w:t>
            </w:r>
            <w:r>
              <w:t>/d)</w:t>
            </w:r>
            <w:r w:rsidRPr="009A013C">
              <w:t>.</w:t>
            </w:r>
          </w:p>
        </w:tc>
      </w:tr>
      <w:tr w:rsidR="00597172" w:rsidRPr="00597172" w:rsidTr="001820FA">
        <w:tc>
          <w:tcPr>
            <w:tcW w:w="0" w:type="auto"/>
            <w:gridSpan w:val="5"/>
            <w:shd w:val="clear" w:color="auto" w:fill="BFBFBF"/>
          </w:tcPr>
          <w:p w:rsidR="00102057" w:rsidRPr="00597172" w:rsidRDefault="00102057" w:rsidP="00566B8B">
            <w:pPr>
              <w:pStyle w:val="Table09"/>
            </w:pPr>
            <w:r w:rsidRPr="00102057">
              <w:t>Krupitsky E, Nunes EV, Ling W, Gastfriend DR, Memisoglu A, Silverman BL.</w:t>
            </w:r>
            <w:r>
              <w:t xml:space="preserve"> </w:t>
            </w:r>
            <w:r w:rsidRPr="00102057">
              <w:t>Injectable extended-release naltrexone (XR-NTX) for opioid dependence: long-term safety and effectiveness.</w:t>
            </w:r>
            <w:r w:rsidRPr="00102057">
              <w:cr/>
              <w:t>Addiction. 2013 Sep;108(9):1628-37. doi: 10.1111/add.12208. Epub 2013 May 24.</w:t>
            </w:r>
            <w:r w:rsidR="00566B8B" w:rsidRPr="00597172">
              <w:t xml:space="preserve"> </w:t>
            </w:r>
          </w:p>
        </w:tc>
      </w:tr>
      <w:tr w:rsidR="00971728" w:rsidRPr="00597172" w:rsidTr="001820FA">
        <w:tc>
          <w:tcPr>
            <w:tcW w:w="0" w:type="auto"/>
            <w:tcBorders>
              <w:bottom w:val="single" w:sz="4" w:space="0" w:color="auto"/>
            </w:tcBorders>
          </w:tcPr>
          <w:p w:rsidR="00597172" w:rsidRDefault="00542A9B" w:rsidP="00542A9B">
            <w:pPr>
              <w:pStyle w:val="Table09"/>
              <w:keepNext w:val="0"/>
            </w:pPr>
            <w:r>
              <w:t>52-wk follow-on OL OS</w:t>
            </w:r>
          </w:p>
          <w:p w:rsidR="009C016B" w:rsidRDefault="009C016B" w:rsidP="00542A9B">
            <w:pPr>
              <w:pStyle w:val="Table09"/>
              <w:keepNext w:val="0"/>
            </w:pPr>
            <w:r>
              <w:t>Missing UDS results were imputed as positive; LOCF</w:t>
            </w:r>
          </w:p>
          <w:p w:rsidR="009C016B" w:rsidRPr="00597172" w:rsidRDefault="009C016B" w:rsidP="00542A9B">
            <w:pPr>
              <w:pStyle w:val="Table09"/>
              <w:keepNext w:val="0"/>
            </w:pPr>
            <w:r>
              <w:t>Kaplan-Meier survival analysis (retention)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97172" w:rsidRDefault="009C016B" w:rsidP="00F253AF">
            <w:pPr>
              <w:pStyle w:val="Table09"/>
              <w:keepNext w:val="0"/>
            </w:pPr>
            <w:r>
              <w:t>114 p</w:t>
            </w:r>
            <w:r w:rsidR="0051673B">
              <w:t xml:space="preserve">ts </w:t>
            </w:r>
            <w:r>
              <w:t>who completed</w:t>
            </w:r>
            <w:r w:rsidR="0051673B">
              <w:t xml:space="preserve"> RCT</w:t>
            </w:r>
            <w:r>
              <w:t xml:space="preserve"> and entered the OL phase;</w:t>
            </w:r>
            <w:r w:rsidR="0051673B">
              <w:t xml:space="preserve"> continued on </w:t>
            </w:r>
            <w:r w:rsidR="006248C3">
              <w:t>ER-NTX</w:t>
            </w:r>
            <w:r w:rsidR="0051673B">
              <w:t xml:space="preserve"> </w:t>
            </w:r>
            <w:r>
              <w:t xml:space="preserve">(n = 67) </w:t>
            </w:r>
            <w:r w:rsidR="0051673B">
              <w:t xml:space="preserve">or switched from PBO to </w:t>
            </w:r>
            <w:r w:rsidR="006248C3">
              <w:t>ER-NTX</w:t>
            </w:r>
            <w:r>
              <w:t xml:space="preserve"> (n = 47).</w:t>
            </w:r>
          </w:p>
          <w:p w:rsidR="009C016B" w:rsidRDefault="009C016B" w:rsidP="009C016B">
            <w:pPr>
              <w:pStyle w:val="Table09"/>
            </w:pPr>
            <w:r>
              <w:t xml:space="preserve">Excluded pts on </w:t>
            </w:r>
            <w:r w:rsidRPr="009C016B">
              <w:t>oral naltrexone,</w:t>
            </w:r>
            <w:r>
              <w:t xml:space="preserve"> </w:t>
            </w:r>
            <w:r w:rsidRPr="009C016B">
              <w:t>buprenorphine, levomethadyl acetate/LAAM,</w:t>
            </w:r>
            <w:r>
              <w:t xml:space="preserve"> </w:t>
            </w:r>
            <w:r w:rsidRPr="009C016B">
              <w:t>methadone, other prescription opioids, antipsychotics,</w:t>
            </w:r>
            <w:r>
              <w:t xml:space="preserve"> </w:t>
            </w:r>
            <w:r w:rsidRPr="009C016B">
              <w:t>anticonvulsants, antidepressants and anxiolytics.</w:t>
            </w:r>
          </w:p>
          <w:p w:rsidR="00B24C75" w:rsidRPr="00597172" w:rsidRDefault="00B24C75" w:rsidP="00B24C75">
            <w:pPr>
              <w:pStyle w:val="Table09"/>
            </w:pPr>
            <w:r>
              <w:t>P</w:t>
            </w:r>
            <w:r w:rsidRPr="00B24C75">
              <w:t>redominantly young</w:t>
            </w:r>
            <w:r>
              <w:t xml:space="preserve"> (29.5 yo)</w:t>
            </w:r>
            <w:r w:rsidRPr="00B24C75">
              <w:t>, male</w:t>
            </w:r>
            <w:r>
              <w:t xml:space="preserve"> (89%)</w:t>
            </w:r>
            <w:r w:rsidRPr="00B24C75">
              <w:t>, white</w:t>
            </w:r>
            <w:r>
              <w:t xml:space="preserve"> (100%)</w:t>
            </w:r>
            <w:r w:rsidRPr="00B24C75">
              <w:t>, addicted</w:t>
            </w:r>
            <w:r>
              <w:t xml:space="preserve"> </w:t>
            </w:r>
            <w:r w:rsidRPr="00B24C75">
              <w:t>to heroin for about 10 years, and had high rates of HIV</w:t>
            </w:r>
            <w:r>
              <w:t xml:space="preserve"> (40%) </w:t>
            </w:r>
            <w:r w:rsidRPr="00B24C75">
              <w:t xml:space="preserve">and </w:t>
            </w:r>
            <w:r>
              <w:t>HCV (88%) infection.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97172" w:rsidRDefault="006248C3" w:rsidP="0051673B">
            <w:pPr>
              <w:pStyle w:val="Table09"/>
              <w:keepNext w:val="0"/>
            </w:pPr>
            <w:r>
              <w:t>ER-NTX</w:t>
            </w:r>
            <w:r w:rsidR="0051673B">
              <w:t xml:space="preserve"> 380 mg i.m. q4wk for up to 13 add’l doses (including the DB doses, this totals to 19 injections over 18 mos) </w:t>
            </w:r>
          </w:p>
          <w:p w:rsidR="0051673B" w:rsidRDefault="0051673B" w:rsidP="0051673B">
            <w:pPr>
              <w:pStyle w:val="Table09"/>
              <w:keepNext w:val="0"/>
            </w:pPr>
            <w:r>
              <w:t>Manualized individual drug counseling monthly</w:t>
            </w:r>
          </w:p>
          <w:p w:rsidR="009C016B" w:rsidRPr="00597172" w:rsidRDefault="009C016B" w:rsidP="009C016B">
            <w:pPr>
              <w:pStyle w:val="Table09"/>
            </w:pPr>
            <w:r>
              <w:t>Permitted co-meds:  AEDs</w:t>
            </w:r>
            <w:r w:rsidRPr="009C016B">
              <w:t xml:space="preserve"> if dosing</w:t>
            </w:r>
            <w:r>
              <w:t xml:space="preserve"> </w:t>
            </w:r>
            <w:r w:rsidRPr="009C016B">
              <w:t>was stable and short-acting PRN insomnia</w:t>
            </w:r>
            <w:r>
              <w:t xml:space="preserve"> </w:t>
            </w:r>
            <w:r w:rsidRPr="009C016B">
              <w:t>medications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97172" w:rsidRDefault="009C016B" w:rsidP="00F253AF">
            <w:pPr>
              <w:pStyle w:val="Table09"/>
              <w:keepNext w:val="0"/>
            </w:pPr>
            <w:r>
              <w:t>UDT qmo</w:t>
            </w:r>
          </w:p>
          <w:p w:rsidR="009C016B" w:rsidRDefault="009C016B" w:rsidP="00F253AF">
            <w:pPr>
              <w:pStyle w:val="Table09"/>
              <w:keepNext w:val="0"/>
            </w:pPr>
            <w:r>
              <w:t>Self-reported drug use (Timeline Follow-back/TLFB method)</w:t>
            </w:r>
          </w:p>
          <w:p w:rsidR="009C016B" w:rsidRDefault="009C016B" w:rsidP="00F253AF">
            <w:pPr>
              <w:pStyle w:val="Table09"/>
              <w:keepNext w:val="0"/>
            </w:pPr>
            <w:r>
              <w:t>Addiction Severity Index (ASI) monthly</w:t>
            </w:r>
          </w:p>
          <w:p w:rsidR="009C016B" w:rsidRDefault="009C016B" w:rsidP="009C016B">
            <w:pPr>
              <w:pStyle w:val="Table09"/>
              <w:keepNext w:val="0"/>
            </w:pPr>
            <w:r>
              <w:t>Durability of effects:  retention, opioid craving (VAS 0–100), SF-36v2 and EQ-5D health function, CGII</w:t>
            </w:r>
          </w:p>
          <w:p w:rsidR="009C016B" w:rsidRDefault="009C016B" w:rsidP="009C016B">
            <w:pPr>
              <w:pStyle w:val="Table09"/>
              <w:keepNext w:val="0"/>
            </w:pPr>
            <w:r>
              <w:t xml:space="preserve">Responders were defined </w:t>
            </w:r>
            <w:r w:rsidRPr="009C016B">
              <w:rPr>
                <w:i/>
              </w:rPr>
              <w:t>a priori</w:t>
            </w:r>
            <w:r>
              <w:t xml:space="preserve"> as CGII of 1 (very much) or 2 (much) improved</w:t>
            </w:r>
          </w:p>
          <w:p w:rsidR="009C016B" w:rsidRPr="00597172" w:rsidRDefault="009C016B" w:rsidP="009C016B">
            <w:pPr>
              <w:pStyle w:val="Table09"/>
              <w:keepNext w:val="0"/>
            </w:pPr>
            <w:r>
              <w:t>Safety:  TEAEs, VS, urine/blood tests inc LFTs, injection sites, ECG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B3431" w:rsidRDefault="00BB3431" w:rsidP="00F253AF">
            <w:pPr>
              <w:pStyle w:val="Table09"/>
              <w:keepNext w:val="0"/>
            </w:pPr>
            <w:r>
              <w:t>Funding:  Alkermes</w:t>
            </w:r>
          </w:p>
          <w:p w:rsidR="00BB3431" w:rsidRDefault="00BB3431" w:rsidP="00F253AF">
            <w:pPr>
              <w:pStyle w:val="Table09"/>
              <w:keepNext w:val="0"/>
            </w:pPr>
            <w:r>
              <w:t>GRADE:  LOW</w:t>
            </w:r>
          </w:p>
          <w:p w:rsidR="00597172" w:rsidRDefault="009C016B" w:rsidP="00F253AF">
            <w:pPr>
              <w:pStyle w:val="Table09"/>
              <w:keepNext w:val="0"/>
            </w:pPr>
            <w:r>
              <w:t>Pts who entered the OL phase were similar to those who did not.</w:t>
            </w:r>
          </w:p>
          <w:p w:rsidR="009C016B" w:rsidRDefault="00BB3431" w:rsidP="00F253AF">
            <w:pPr>
              <w:pStyle w:val="Table09"/>
              <w:keepNext w:val="0"/>
            </w:pPr>
            <w:r>
              <w:t>All doses were given free to pts.</w:t>
            </w:r>
          </w:p>
          <w:p w:rsidR="00BB3431" w:rsidRDefault="00BB3431" w:rsidP="00BB3431">
            <w:pPr>
              <w:pStyle w:val="Table09"/>
              <w:keepNext w:val="0"/>
            </w:pPr>
            <w:r>
              <w:t>Results reflect a select subpopulation of predominantly abstinent, probably more highly motivated pts.</w:t>
            </w:r>
          </w:p>
          <w:p w:rsidR="00BB3431" w:rsidRDefault="00BB3431" w:rsidP="00BB3431">
            <w:pPr>
              <w:pStyle w:val="Table09"/>
              <w:keepNext w:val="0"/>
            </w:pPr>
            <w:r>
              <w:t>Pts were not tracked after dropout from tx.</w:t>
            </w:r>
          </w:p>
          <w:p w:rsidR="00BB3431" w:rsidRPr="00597172" w:rsidRDefault="00BB3431" w:rsidP="00BB3431">
            <w:pPr>
              <w:pStyle w:val="Table09"/>
              <w:keepNext w:val="0"/>
            </w:pPr>
            <w:r>
              <w:t>External validity to VA:  Possible</w:t>
            </w:r>
          </w:p>
        </w:tc>
      </w:tr>
    </w:tbl>
    <w:p w:rsidR="0051610C" w:rsidRDefault="0051610C" w:rsidP="0051610C">
      <w:pPr>
        <w:pStyle w:val="Caption"/>
        <w:keepNext w:val="0"/>
      </w:pPr>
    </w:p>
    <w:p w:rsidR="00597172" w:rsidRPr="0051610C" w:rsidRDefault="0051610C" w:rsidP="0051610C">
      <w:pPr>
        <w:pStyle w:val="Caption"/>
      </w:pPr>
      <w:r>
        <w:t xml:space="preserve">Table </w:t>
      </w:r>
      <w:fldSimple w:instr=" SEQ Table \* ARABIC ">
        <w:r w:rsidR="00FD470E">
          <w:rPr>
            <w:noProof/>
          </w:rPr>
          <w:t>3</w:t>
        </w:r>
      </w:fldSimple>
      <w:r>
        <w:tab/>
        <w:t>Results of Major Efficacy Trial, 24 Weeks (Kr</w:t>
      </w:r>
      <w:r w:rsidR="00C10295">
        <w:t>u</w:t>
      </w:r>
      <w:r>
        <w:t>pitsky, 2011)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1"/>
        <w:gridCol w:w="1849"/>
        <w:gridCol w:w="1775"/>
        <w:gridCol w:w="1977"/>
        <w:gridCol w:w="222"/>
        <w:gridCol w:w="872"/>
      </w:tblGrid>
      <w:tr w:rsidR="0089180E" w:rsidRPr="008C4899" w:rsidTr="00FD470E">
        <w:trPr>
          <w:tblHeader/>
        </w:trPr>
        <w:tc>
          <w:tcPr>
            <w:tcW w:w="0" w:type="auto"/>
            <w:shd w:val="solid" w:color="000000" w:fill="FFFFFF"/>
            <w:vAlign w:val="bottom"/>
          </w:tcPr>
          <w:p w:rsidR="0089180E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Outcome Measures</w:t>
            </w:r>
          </w:p>
        </w:tc>
        <w:tc>
          <w:tcPr>
            <w:tcW w:w="0" w:type="auto"/>
            <w:shd w:val="solid" w:color="000000" w:fill="FFFFFF"/>
            <w:vAlign w:val="bottom"/>
          </w:tcPr>
          <w:p w:rsidR="0089180E" w:rsidRDefault="006248C3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ER-NTX</w:t>
            </w:r>
          </w:p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(N=126)</w:t>
            </w:r>
          </w:p>
        </w:tc>
        <w:tc>
          <w:tcPr>
            <w:tcW w:w="0" w:type="auto"/>
            <w:shd w:val="solid" w:color="000000" w:fill="FFFFFF"/>
            <w:vAlign w:val="bottom"/>
          </w:tcPr>
          <w:p w:rsidR="0089180E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PBO</w:t>
            </w:r>
          </w:p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(N=124)</w:t>
            </w:r>
          </w:p>
        </w:tc>
        <w:tc>
          <w:tcPr>
            <w:tcW w:w="0" w:type="auto"/>
            <w:shd w:val="solid" w:color="000000" w:fill="FFFFFF"/>
            <w:vAlign w:val="bottom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Relative Effect </w:t>
            </w:r>
            <w:r>
              <w:rPr>
                <w:rFonts w:eastAsia="Times New Roman"/>
              </w:rPr>
              <w:br/>
              <w:t>(95% CI)</w:t>
            </w:r>
          </w:p>
        </w:tc>
        <w:tc>
          <w:tcPr>
            <w:tcW w:w="0" w:type="auto"/>
            <w:shd w:val="solid" w:color="000000" w:fill="FFFFFF"/>
            <w:vAlign w:val="bottom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shd w:val="solid" w:color="000000" w:fill="FFFFFF"/>
            <w:vAlign w:val="bottom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P-value</w:t>
            </w:r>
          </w:p>
        </w:tc>
      </w:tr>
      <w:tr w:rsidR="0089180E" w:rsidRPr="008C4899" w:rsidTr="00FD470E">
        <w:tc>
          <w:tcPr>
            <w:tcW w:w="0" w:type="auto"/>
            <w:gridSpan w:val="6"/>
            <w:shd w:val="clear" w:color="auto" w:fill="D9D9D9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Primary Outcome Measures</w:t>
            </w:r>
          </w:p>
        </w:tc>
      </w:tr>
      <w:tr w:rsidR="0089180E" w:rsidRPr="008C4899" w:rsidTr="00FD470E"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Proportion of weeks of confirmed abstinence, % (95% CI)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90.0 (69.9–92.4)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35.0 (11.4–63.8)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Diff 55.0 (15.9–76.1)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0.0002</w:t>
            </w:r>
          </w:p>
        </w:tc>
      </w:tr>
      <w:tr w:rsidR="0089180E" w:rsidRPr="008C4899" w:rsidTr="00FD470E"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Pts with total confirmed abstinence, % (95% CI)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35.7 (27.4–44.1)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22.6 (15.2–29.9)</w:t>
            </w:r>
          </w:p>
        </w:tc>
        <w:tc>
          <w:tcPr>
            <w:tcW w:w="0" w:type="auto"/>
          </w:tcPr>
          <w:p w:rsidR="0089180E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RR 1.58 (1.06–2.36)</w:t>
            </w:r>
          </w:p>
          <w:p w:rsidR="00F85A89" w:rsidRDefault="00F85A89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Diff 13.1 (1.8–23.9)</w:t>
            </w:r>
          </w:p>
          <w:p w:rsidR="00F85A89" w:rsidRPr="008C4899" w:rsidRDefault="00F85A89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NNT 8 (5–55)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0.0224</w:t>
            </w:r>
          </w:p>
        </w:tc>
      </w:tr>
      <w:tr w:rsidR="0089180E" w:rsidRPr="008C4899" w:rsidTr="00FD470E">
        <w:tc>
          <w:tcPr>
            <w:tcW w:w="0" w:type="auto"/>
            <w:gridSpan w:val="6"/>
            <w:shd w:val="clear" w:color="auto" w:fill="D9D9D9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Secondary Outcome Measures</w:t>
            </w:r>
          </w:p>
        </w:tc>
      </w:tr>
      <w:tr w:rsidR="0089180E" w:rsidRPr="008C4899" w:rsidTr="00FD470E"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Proportion of self-reported opioid-free days, %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99.2 (89.1–99.4)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60.4 (46.2–94.0)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Diff 38.7 (3.3–52.5)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0.0004</w:t>
            </w:r>
          </w:p>
        </w:tc>
      </w:tr>
      <w:tr w:rsidR="0089180E" w:rsidRPr="008C4899" w:rsidTr="00FD470E"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Craving:  mean change in VAS score from BL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–10.1 (–12.3 to –7.8)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0.7 (–3.1 to 4.4)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Diff –10.7 (–15.0 to 6.4)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&lt;0.0001</w:t>
            </w:r>
          </w:p>
        </w:tc>
      </w:tr>
      <w:tr w:rsidR="0089180E" w:rsidRPr="008C4899" w:rsidTr="00FD470E">
        <w:tc>
          <w:tcPr>
            <w:tcW w:w="0" w:type="auto"/>
            <w:shd w:val="clear" w:color="auto" w:fill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Number of days of retention</w:t>
            </w:r>
          </w:p>
        </w:tc>
        <w:tc>
          <w:tcPr>
            <w:tcW w:w="0" w:type="auto"/>
            <w:shd w:val="clear" w:color="auto" w:fill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&gt;168 (CI not calculable)</w:t>
            </w:r>
          </w:p>
        </w:tc>
        <w:tc>
          <w:tcPr>
            <w:tcW w:w="0" w:type="auto"/>
            <w:shd w:val="clear" w:color="auto" w:fill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96 (63–165)</w:t>
            </w:r>
          </w:p>
        </w:tc>
        <w:tc>
          <w:tcPr>
            <w:tcW w:w="0" w:type="auto"/>
            <w:shd w:val="clear" w:color="auto" w:fill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RR 0.61 (0.44–0.86)</w:t>
            </w:r>
          </w:p>
        </w:tc>
        <w:tc>
          <w:tcPr>
            <w:tcW w:w="0" w:type="auto"/>
            <w:shd w:val="clear" w:color="auto" w:fill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0.0042</w:t>
            </w:r>
          </w:p>
        </w:tc>
      </w:tr>
      <w:tr w:rsidR="0089180E" w:rsidRPr="008C4899" w:rsidTr="00FD470E"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Pts with positive naloxone challenge test, %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0.8 (0.0–2.3)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13.7 (7.7–19.8)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RR 17.3 (2.3–127.8)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&lt;0.0001</w:t>
            </w:r>
          </w:p>
        </w:tc>
      </w:tr>
      <w:tr w:rsidR="0089180E" w:rsidRPr="008C4899" w:rsidTr="00FD470E">
        <w:tc>
          <w:tcPr>
            <w:tcW w:w="0" w:type="auto"/>
            <w:gridSpan w:val="6"/>
            <w:shd w:val="clear" w:color="auto" w:fill="D9D9D9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Other Outcomes</w:t>
            </w:r>
          </w:p>
        </w:tc>
      </w:tr>
      <w:tr w:rsidR="0089180E" w:rsidRPr="008C4899" w:rsidTr="00FD470E"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Pts who completed DB tx period, %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53.2 (44.5–61.9)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37.9 (29.4–46.4)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RR 1.40 (1.06–1.85)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0.0171</w:t>
            </w:r>
          </w:p>
        </w:tc>
      </w:tr>
      <w:tr w:rsidR="0089180E" w:rsidRPr="008C4899" w:rsidTr="00FD470E"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Risk for HIV:  mean change in behavior scores from BL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–0.187 (–0.224 to –0.150)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–0.130 (–0.173 to –0.087)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Diff –0.057 (–0.113 to –0.001)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0.0212</w:t>
            </w:r>
          </w:p>
        </w:tc>
      </w:tr>
      <w:tr w:rsidR="0089180E" w:rsidRPr="008C4899" w:rsidTr="00FD470E">
        <w:tc>
          <w:tcPr>
            <w:tcW w:w="0" w:type="auto"/>
            <w:shd w:val="clear" w:color="auto" w:fill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EQ-5D:  mean change in VAS self-ratings from BL</w:t>
            </w:r>
          </w:p>
        </w:tc>
        <w:tc>
          <w:tcPr>
            <w:tcW w:w="0" w:type="auto"/>
            <w:shd w:val="clear" w:color="auto" w:fill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14.1 (9.6–18.7)</w:t>
            </w:r>
          </w:p>
        </w:tc>
        <w:tc>
          <w:tcPr>
            <w:tcW w:w="0" w:type="auto"/>
            <w:shd w:val="clear" w:color="auto" w:fill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2.7 (–1.9–7.8)</w:t>
            </w:r>
          </w:p>
        </w:tc>
        <w:tc>
          <w:tcPr>
            <w:tcW w:w="0" w:type="auto"/>
            <w:shd w:val="clear" w:color="auto" w:fill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Diff 11.4 (5.0–17.8)</w:t>
            </w:r>
          </w:p>
        </w:tc>
        <w:tc>
          <w:tcPr>
            <w:tcW w:w="0" w:type="auto"/>
            <w:shd w:val="clear" w:color="auto" w:fill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0.0005</w:t>
            </w:r>
          </w:p>
        </w:tc>
      </w:tr>
      <w:tr w:rsidR="0089180E" w:rsidRPr="008C4899" w:rsidTr="00FD470E"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Rated much or very much improved on CGI, %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85.9 (77.8–94.0)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57.5 (45.7 –69.5)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1.49 (1.19–1.87)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0.0002</w:t>
            </w:r>
          </w:p>
        </w:tc>
      </w:tr>
      <w:tr w:rsidR="0089180E" w:rsidRPr="008C4899" w:rsidTr="00FD470E">
        <w:tc>
          <w:tcPr>
            <w:tcW w:w="0" w:type="auto"/>
            <w:shd w:val="clear" w:color="auto" w:fill="D9D9D9"/>
          </w:tcPr>
          <w:p w:rsidR="0089180E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Safety </w:t>
            </w:r>
          </w:p>
        </w:tc>
        <w:tc>
          <w:tcPr>
            <w:tcW w:w="0" w:type="auto"/>
            <w:shd w:val="clear" w:color="auto" w:fill="D9D9D9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D9D9D9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D9D9D9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D9D9D9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D9D9D9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C10295" w:rsidRPr="008C4899" w:rsidTr="00FD470E">
        <w:tc>
          <w:tcPr>
            <w:tcW w:w="0" w:type="auto"/>
          </w:tcPr>
          <w:p w:rsidR="0089180E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SAEs, % of pts</w:t>
            </w:r>
          </w:p>
        </w:tc>
        <w:tc>
          <w:tcPr>
            <w:tcW w:w="0" w:type="auto"/>
          </w:tcPr>
          <w:p w:rsidR="0089180E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</w:tcPr>
          <w:p w:rsidR="0089180E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</w:tcPr>
          <w:p w:rsidR="0089180E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Diff –1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9180E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NSD</w:t>
            </w:r>
          </w:p>
        </w:tc>
      </w:tr>
      <w:tr w:rsidR="0089180E" w:rsidRPr="008C4899" w:rsidTr="00FD470E">
        <w:tc>
          <w:tcPr>
            <w:tcW w:w="0" w:type="auto"/>
          </w:tcPr>
          <w:p w:rsidR="0089180E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WDAEs, % of pts</w:t>
            </w:r>
          </w:p>
        </w:tc>
        <w:tc>
          <w:tcPr>
            <w:tcW w:w="0" w:type="auto"/>
          </w:tcPr>
          <w:p w:rsidR="0089180E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</w:tcPr>
          <w:p w:rsidR="0089180E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</w:tcPr>
          <w:p w:rsidR="0089180E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Diff 0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9180E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</w:tr>
      <w:tr w:rsidR="0089180E" w:rsidRPr="008C4899" w:rsidTr="00FD470E">
        <w:tc>
          <w:tcPr>
            <w:tcW w:w="0" w:type="auto"/>
          </w:tcPr>
          <w:p w:rsidR="0089180E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DRAEs, % of pts</w:t>
            </w:r>
          </w:p>
        </w:tc>
        <w:tc>
          <w:tcPr>
            <w:tcW w:w="0" w:type="auto"/>
          </w:tcPr>
          <w:p w:rsidR="0089180E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</w:tcPr>
          <w:p w:rsidR="0089180E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</w:tcPr>
          <w:p w:rsidR="0089180E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Diff 16</w:t>
            </w:r>
          </w:p>
        </w:tc>
        <w:tc>
          <w:tcPr>
            <w:tcW w:w="0" w:type="auto"/>
          </w:tcPr>
          <w:p w:rsidR="0089180E" w:rsidRPr="008C4899" w:rsidRDefault="0089180E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9180E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0.001</w:t>
            </w:r>
          </w:p>
        </w:tc>
      </w:tr>
      <w:tr w:rsidR="00C10295" w:rsidRPr="008C4899" w:rsidTr="00FD470E">
        <w:tc>
          <w:tcPr>
            <w:tcW w:w="0" w:type="auto"/>
          </w:tcPr>
          <w:p w:rsidR="0051610C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≥1 AE, % of pts</w:t>
            </w:r>
          </w:p>
        </w:tc>
        <w:tc>
          <w:tcPr>
            <w:tcW w:w="0" w:type="auto"/>
          </w:tcPr>
          <w:p w:rsidR="0051610C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</w:tcPr>
          <w:p w:rsidR="0051610C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</w:tcPr>
          <w:p w:rsidR="0051610C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Diff 18</w:t>
            </w:r>
          </w:p>
        </w:tc>
        <w:tc>
          <w:tcPr>
            <w:tcW w:w="0" w:type="auto"/>
          </w:tcPr>
          <w:p w:rsidR="0051610C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51610C" w:rsidRPr="008C4899" w:rsidRDefault="0051610C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0.005</w:t>
            </w:r>
          </w:p>
        </w:tc>
      </w:tr>
      <w:tr w:rsidR="00C10295" w:rsidRPr="008C4899" w:rsidTr="00FD470E">
        <w:tc>
          <w:tcPr>
            <w:tcW w:w="0" w:type="auto"/>
            <w:gridSpan w:val="6"/>
            <w:shd w:val="clear" w:color="auto" w:fill="D9D9D9" w:themeFill="background1" w:themeFillShade="D9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Adverse Events Reported in ≥5% of Patients in Either Treatment Group</w:t>
            </w:r>
          </w:p>
        </w:tc>
      </w:tr>
      <w:tr w:rsidR="00C10295" w:rsidRPr="008C4899" w:rsidTr="00FD470E">
        <w:tc>
          <w:tcPr>
            <w:tcW w:w="0" w:type="auto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Nasopharyngitis</w:t>
            </w:r>
          </w:p>
        </w:tc>
        <w:tc>
          <w:tcPr>
            <w:tcW w:w="0" w:type="auto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</w:tcPr>
          <w:p w:rsidR="00C10295" w:rsidRPr="008C4899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NSD</w:t>
            </w:r>
          </w:p>
        </w:tc>
      </w:tr>
      <w:tr w:rsidR="00C10295" w:rsidRPr="008C4899" w:rsidTr="00FD470E">
        <w:tc>
          <w:tcPr>
            <w:tcW w:w="0" w:type="auto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Insomnia</w:t>
            </w:r>
          </w:p>
        </w:tc>
        <w:tc>
          <w:tcPr>
            <w:tcW w:w="0" w:type="auto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</w:tcPr>
          <w:p w:rsidR="00C10295" w:rsidRPr="008C4899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0.036</w:t>
            </w:r>
          </w:p>
        </w:tc>
      </w:tr>
      <w:tr w:rsidR="00C10295" w:rsidRPr="008C4899" w:rsidTr="00FD470E">
        <w:tc>
          <w:tcPr>
            <w:tcW w:w="0" w:type="auto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Hypertension</w:t>
            </w:r>
          </w:p>
        </w:tc>
        <w:tc>
          <w:tcPr>
            <w:tcW w:w="0" w:type="auto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</w:tcPr>
          <w:p w:rsidR="00C10295" w:rsidRPr="008C4899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NSD</w:t>
            </w:r>
          </w:p>
        </w:tc>
      </w:tr>
      <w:tr w:rsidR="00C10295" w:rsidRPr="008C4899" w:rsidTr="00FD470E">
        <w:tc>
          <w:tcPr>
            <w:tcW w:w="0" w:type="auto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Influenza</w:t>
            </w:r>
          </w:p>
        </w:tc>
        <w:tc>
          <w:tcPr>
            <w:tcW w:w="0" w:type="auto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</w:tcPr>
          <w:p w:rsidR="00C10295" w:rsidRPr="008C4899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NSD</w:t>
            </w:r>
          </w:p>
        </w:tc>
      </w:tr>
      <w:tr w:rsidR="00C10295" w:rsidRPr="008C4899" w:rsidTr="00FD470E">
        <w:tc>
          <w:tcPr>
            <w:tcW w:w="0" w:type="auto"/>
            <w:tcBorders>
              <w:bottom w:val="single" w:sz="4" w:space="0" w:color="auto"/>
            </w:tcBorders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Injection Site Pain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10295" w:rsidRPr="008C4899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10295" w:rsidRDefault="00C10295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NSD</w:t>
            </w:r>
          </w:p>
        </w:tc>
      </w:tr>
    </w:tbl>
    <w:p w:rsidR="00663ADE" w:rsidRDefault="00663ADE" w:rsidP="00663ADE"/>
    <w:p w:rsidR="001820FA" w:rsidRDefault="001820FA" w:rsidP="001820FA">
      <w:pPr>
        <w:pStyle w:val="Caption"/>
      </w:pPr>
      <w:r>
        <w:t xml:space="preserve">Table </w:t>
      </w:r>
      <w:fldSimple w:instr=" SEQ Table \* ARABIC ">
        <w:r w:rsidR="00FD470E">
          <w:rPr>
            <w:noProof/>
          </w:rPr>
          <w:t>4</w:t>
        </w:r>
      </w:fldSimple>
      <w:r>
        <w:tab/>
        <w:t>Liver Enzymes in Hepatic Safety Substudy (Mitchell, 2012)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87"/>
        <w:gridCol w:w="1216"/>
        <w:gridCol w:w="1166"/>
        <w:gridCol w:w="827"/>
        <w:gridCol w:w="222"/>
        <w:gridCol w:w="2828"/>
      </w:tblGrid>
      <w:tr w:rsidR="004D493A" w:rsidRPr="008C4899" w:rsidTr="00FD470E">
        <w:trPr>
          <w:tblHeader/>
        </w:trPr>
        <w:tc>
          <w:tcPr>
            <w:tcW w:w="0" w:type="auto"/>
            <w:shd w:val="solid" w:color="000000" w:fill="FFFFFF"/>
            <w:vAlign w:val="bottom"/>
          </w:tcPr>
          <w:p w:rsidR="004D493A" w:rsidRPr="008C4899" w:rsidRDefault="004D493A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Outcome Measures</w:t>
            </w:r>
          </w:p>
        </w:tc>
        <w:tc>
          <w:tcPr>
            <w:tcW w:w="0" w:type="auto"/>
            <w:shd w:val="solid" w:color="000000" w:fill="FFFFFF"/>
            <w:vAlign w:val="bottom"/>
          </w:tcPr>
          <w:p w:rsidR="004D493A" w:rsidRDefault="006248C3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ER-NTX</w:t>
            </w:r>
          </w:p>
          <w:p w:rsidR="004D493A" w:rsidRPr="008C4899" w:rsidRDefault="004D493A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(N = 126)</w:t>
            </w:r>
          </w:p>
        </w:tc>
        <w:tc>
          <w:tcPr>
            <w:tcW w:w="0" w:type="auto"/>
            <w:shd w:val="solid" w:color="000000" w:fill="FFFFFF"/>
            <w:vAlign w:val="bottom"/>
          </w:tcPr>
          <w:p w:rsidR="004D493A" w:rsidRDefault="004D493A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PBO</w:t>
            </w:r>
          </w:p>
          <w:p w:rsidR="004D493A" w:rsidRPr="008C4899" w:rsidRDefault="004D493A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(N = 124)</w:t>
            </w:r>
          </w:p>
        </w:tc>
        <w:tc>
          <w:tcPr>
            <w:tcW w:w="0" w:type="auto"/>
            <w:shd w:val="solid" w:color="000000" w:fill="FFFFFF"/>
            <w:vAlign w:val="bottom"/>
          </w:tcPr>
          <w:p w:rsidR="004D493A" w:rsidRPr="008C4899" w:rsidRDefault="004D493A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P-value</w:t>
            </w:r>
          </w:p>
        </w:tc>
        <w:tc>
          <w:tcPr>
            <w:tcW w:w="0" w:type="auto"/>
            <w:shd w:val="solid" w:color="000000" w:fill="FFFFFF"/>
            <w:vAlign w:val="bottom"/>
          </w:tcPr>
          <w:p w:rsidR="004D493A" w:rsidRPr="008C4899" w:rsidRDefault="004D493A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shd w:val="solid" w:color="000000" w:fill="FFFFFF"/>
            <w:vAlign w:val="bottom"/>
          </w:tcPr>
          <w:p w:rsidR="004D493A" w:rsidRPr="008C4899" w:rsidRDefault="004D493A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Comments</w:t>
            </w:r>
          </w:p>
        </w:tc>
      </w:tr>
      <w:tr w:rsidR="004D493A" w:rsidRPr="008C4899" w:rsidTr="00172194">
        <w:tc>
          <w:tcPr>
            <w:tcW w:w="0" w:type="auto"/>
            <w:gridSpan w:val="6"/>
            <w:shd w:val="clear" w:color="auto" w:fill="D9D9D9"/>
          </w:tcPr>
          <w:p w:rsidR="004D493A" w:rsidRPr="008C4899" w:rsidRDefault="004D493A" w:rsidP="004D493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Alanine aminotransferase, mean ± SD, IU/ml (ULN 55 IU/ml)</w:t>
            </w:r>
          </w:p>
        </w:tc>
      </w:tr>
      <w:tr w:rsidR="001C55CD" w:rsidRPr="008C4899" w:rsidTr="00FD470E">
        <w:tc>
          <w:tcPr>
            <w:tcW w:w="0" w:type="auto"/>
          </w:tcPr>
          <w:p w:rsidR="001C55CD" w:rsidRDefault="001C55CD" w:rsidP="00172194">
            <w:pPr>
              <w:pStyle w:val="Table09"/>
              <w:spacing w:beforeLines="40" w:before="96" w:afterLines="40" w:after="96"/>
              <w:ind w:left="180"/>
              <w:rPr>
                <w:rFonts w:eastAsia="Times New Roman"/>
              </w:rPr>
            </w:pPr>
            <w:r>
              <w:rPr>
                <w:rFonts w:eastAsia="Times New Roman"/>
              </w:rPr>
              <w:t>Baseline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52.2 ± 28.9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51.2 ± 29.9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NSD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</w:tcPr>
          <w:p w:rsidR="001C55CD" w:rsidRPr="008C4899" w:rsidRDefault="001C55CD" w:rsidP="00667108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No cases of ALT &gt; 3x ULN</w:t>
            </w:r>
            <w:r w:rsidR="00667108">
              <w:rPr>
                <w:rFonts w:eastAsia="Times New Roman"/>
              </w:rPr>
              <w:t xml:space="preserve">. </w:t>
            </w:r>
          </w:p>
        </w:tc>
      </w:tr>
      <w:tr w:rsidR="001C55CD" w:rsidRPr="008C4899" w:rsidTr="00FD470E">
        <w:tc>
          <w:tcPr>
            <w:tcW w:w="0" w:type="auto"/>
          </w:tcPr>
          <w:p w:rsidR="001C55CD" w:rsidRDefault="001C55CD" w:rsidP="00172194">
            <w:pPr>
              <w:pStyle w:val="Table09"/>
              <w:spacing w:beforeLines="40" w:before="96" w:afterLines="40" w:after="96"/>
              <w:ind w:left="180"/>
              <w:rPr>
                <w:rFonts w:eastAsia="Times New Roman"/>
              </w:rPr>
            </w:pPr>
            <w:r>
              <w:rPr>
                <w:rFonts w:eastAsia="Times New Roman"/>
              </w:rPr>
              <w:t>24 wk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56.0 ± 55.1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57.4 ± 41.2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NSD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vMerge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4D493A" w:rsidRPr="008C4899" w:rsidTr="00172194">
        <w:tc>
          <w:tcPr>
            <w:tcW w:w="0" w:type="auto"/>
            <w:gridSpan w:val="6"/>
            <w:shd w:val="clear" w:color="auto" w:fill="D9D9D9"/>
          </w:tcPr>
          <w:p w:rsidR="004D493A" w:rsidRPr="008C4899" w:rsidRDefault="004D493A" w:rsidP="004D493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Aspartate aminotransferase, </w:t>
            </w:r>
            <w:r w:rsidRPr="004D493A">
              <w:rPr>
                <w:rFonts w:eastAsia="Times New Roman"/>
              </w:rPr>
              <w:t xml:space="preserve">mean ± SD, </w:t>
            </w:r>
            <w:r>
              <w:rPr>
                <w:rFonts w:eastAsia="Times New Roman"/>
              </w:rPr>
              <w:t xml:space="preserve">IU/ml </w:t>
            </w:r>
            <w:r w:rsidR="00D70926">
              <w:rPr>
                <w:rFonts w:eastAsia="Times New Roman"/>
              </w:rPr>
              <w:t>(ULN NR)</w:t>
            </w:r>
          </w:p>
        </w:tc>
      </w:tr>
      <w:tr w:rsidR="001C55CD" w:rsidRPr="008C4899" w:rsidTr="00FD470E">
        <w:tc>
          <w:tcPr>
            <w:tcW w:w="0" w:type="auto"/>
          </w:tcPr>
          <w:p w:rsidR="001C55CD" w:rsidRDefault="001C55CD" w:rsidP="00172194">
            <w:pPr>
              <w:pStyle w:val="Table09"/>
              <w:spacing w:beforeLines="40" w:before="96" w:afterLines="40" w:after="96"/>
              <w:ind w:left="180"/>
              <w:rPr>
                <w:rFonts w:eastAsia="Times New Roman"/>
              </w:rPr>
            </w:pPr>
            <w:r>
              <w:rPr>
                <w:rFonts w:eastAsia="Times New Roman"/>
              </w:rPr>
              <w:t>Baseline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39.8 ± 18.2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37.9 ± 18.9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1C55CD" w:rsidRPr="008C4899" w:rsidTr="00FD470E">
        <w:tc>
          <w:tcPr>
            <w:tcW w:w="0" w:type="auto"/>
          </w:tcPr>
          <w:p w:rsidR="001C55CD" w:rsidRDefault="001C55CD" w:rsidP="00172194">
            <w:pPr>
              <w:pStyle w:val="Table09"/>
              <w:spacing w:beforeLines="40" w:before="96" w:afterLines="40" w:after="96"/>
              <w:ind w:left="180"/>
              <w:rPr>
                <w:rFonts w:eastAsia="Times New Roman"/>
              </w:rPr>
            </w:pPr>
            <w:r w:rsidRPr="004D493A">
              <w:rPr>
                <w:rFonts w:eastAsia="Times New Roman"/>
              </w:rPr>
              <w:t>24 wk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44.0 ± 30.3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44.4 ± 31.2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vMerge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4D493A" w:rsidRPr="008C4899" w:rsidTr="00172194">
        <w:tc>
          <w:tcPr>
            <w:tcW w:w="0" w:type="auto"/>
            <w:gridSpan w:val="6"/>
            <w:shd w:val="clear" w:color="auto" w:fill="D9D9D9"/>
          </w:tcPr>
          <w:p w:rsidR="004D493A" w:rsidRPr="008C4899" w:rsidRDefault="004D493A" w:rsidP="004D493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Gamma-glutamyl transferase, </w:t>
            </w:r>
            <w:r w:rsidRPr="004D493A">
              <w:rPr>
                <w:rFonts w:eastAsia="Times New Roman"/>
              </w:rPr>
              <w:t xml:space="preserve">mean ± SD, </w:t>
            </w:r>
            <w:r>
              <w:rPr>
                <w:rFonts w:eastAsia="Times New Roman"/>
              </w:rPr>
              <w:t xml:space="preserve">IU/ml </w:t>
            </w:r>
            <w:r w:rsidR="00D70926">
              <w:rPr>
                <w:rFonts w:eastAsia="Times New Roman"/>
              </w:rPr>
              <w:t>(ULN NR)</w:t>
            </w:r>
          </w:p>
        </w:tc>
      </w:tr>
      <w:tr w:rsidR="001C55CD" w:rsidRPr="008C4899" w:rsidTr="00FD470E">
        <w:tc>
          <w:tcPr>
            <w:tcW w:w="0" w:type="auto"/>
          </w:tcPr>
          <w:p w:rsidR="001C55CD" w:rsidRDefault="001C55CD" w:rsidP="00172194">
            <w:pPr>
              <w:pStyle w:val="Table09"/>
              <w:spacing w:beforeLines="40" w:before="96" w:afterLines="40" w:after="96"/>
              <w:ind w:left="180"/>
              <w:rPr>
                <w:rFonts w:eastAsia="Times New Roman"/>
              </w:rPr>
            </w:pPr>
            <w:r>
              <w:rPr>
                <w:rFonts w:eastAsia="Times New Roman"/>
              </w:rPr>
              <w:t>Baseline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84.6 ± 72.5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106 ± 111.7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NSD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“Declined slightly” in both groups</w:t>
            </w:r>
          </w:p>
        </w:tc>
      </w:tr>
      <w:tr w:rsidR="001C55CD" w:rsidRPr="008C4899" w:rsidTr="00FD470E">
        <w:tc>
          <w:tcPr>
            <w:tcW w:w="0" w:type="auto"/>
          </w:tcPr>
          <w:p w:rsidR="001C55CD" w:rsidRDefault="001C55CD" w:rsidP="00172194">
            <w:pPr>
              <w:pStyle w:val="Table09"/>
              <w:spacing w:beforeLines="40" w:before="96" w:afterLines="40" w:after="96"/>
              <w:ind w:left="180"/>
              <w:rPr>
                <w:rFonts w:eastAsia="Times New Roman"/>
              </w:rPr>
            </w:pPr>
            <w:r w:rsidRPr="004D493A">
              <w:rPr>
                <w:rFonts w:eastAsia="Times New Roman"/>
              </w:rPr>
              <w:t>24 wk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NR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NR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NSD</w:t>
            </w:r>
          </w:p>
        </w:tc>
        <w:tc>
          <w:tcPr>
            <w:tcW w:w="0" w:type="auto"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vMerge/>
          </w:tcPr>
          <w:p w:rsidR="001C55CD" w:rsidRPr="008C4899" w:rsidRDefault="001C55CD" w:rsidP="0017219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1C55CD" w:rsidRPr="008C4899" w:rsidTr="00B41944">
        <w:tc>
          <w:tcPr>
            <w:tcW w:w="0" w:type="auto"/>
            <w:gridSpan w:val="6"/>
            <w:shd w:val="clear" w:color="auto" w:fill="D9D9D9"/>
          </w:tcPr>
          <w:p w:rsidR="001C55CD" w:rsidRPr="008C4899" w:rsidRDefault="001C55CD" w:rsidP="00B4194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Total Bilirubin, </w:t>
            </w:r>
            <w:r w:rsidR="00D70926" w:rsidRPr="00D70926">
              <w:rPr>
                <w:rFonts w:eastAsia="Times New Roman"/>
              </w:rPr>
              <w:t xml:space="preserve">mean ± SD, </w:t>
            </w:r>
            <w:r>
              <w:rPr>
                <w:rFonts w:eastAsia="Times New Roman"/>
              </w:rPr>
              <w:t>micromol/ml)</w:t>
            </w:r>
            <w:r w:rsidR="00D70926">
              <w:rPr>
                <w:rFonts w:eastAsia="Times New Roman"/>
              </w:rPr>
              <w:t xml:space="preserve"> (ULN NR)</w:t>
            </w:r>
          </w:p>
        </w:tc>
      </w:tr>
      <w:tr w:rsidR="001C55CD" w:rsidRPr="008C4899" w:rsidTr="00FD470E">
        <w:tc>
          <w:tcPr>
            <w:tcW w:w="0" w:type="auto"/>
          </w:tcPr>
          <w:p w:rsidR="001C55CD" w:rsidRDefault="001C55CD" w:rsidP="00B41944">
            <w:pPr>
              <w:pStyle w:val="Table09"/>
              <w:spacing w:beforeLines="40" w:before="96" w:afterLines="40" w:after="96"/>
              <w:ind w:left="180"/>
              <w:rPr>
                <w:rFonts w:eastAsia="Times New Roman"/>
              </w:rPr>
            </w:pPr>
            <w:r>
              <w:rPr>
                <w:rFonts w:eastAsia="Times New Roman"/>
              </w:rPr>
              <w:t>Baseline</w:t>
            </w:r>
          </w:p>
        </w:tc>
        <w:tc>
          <w:tcPr>
            <w:tcW w:w="0" w:type="auto"/>
          </w:tcPr>
          <w:p w:rsidR="001C55CD" w:rsidRPr="008C4899" w:rsidRDefault="001C55CD" w:rsidP="00B4194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7.21 ± 3.83</w:t>
            </w:r>
          </w:p>
        </w:tc>
        <w:tc>
          <w:tcPr>
            <w:tcW w:w="0" w:type="auto"/>
          </w:tcPr>
          <w:p w:rsidR="001C55CD" w:rsidRPr="008C4899" w:rsidRDefault="001C55CD" w:rsidP="00B4194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7.55 ± 3.57</w:t>
            </w:r>
          </w:p>
        </w:tc>
        <w:tc>
          <w:tcPr>
            <w:tcW w:w="0" w:type="auto"/>
          </w:tcPr>
          <w:p w:rsidR="001C55CD" w:rsidRPr="008C4899" w:rsidRDefault="001C55CD" w:rsidP="00B4194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NSD</w:t>
            </w:r>
          </w:p>
        </w:tc>
        <w:tc>
          <w:tcPr>
            <w:tcW w:w="0" w:type="auto"/>
          </w:tcPr>
          <w:p w:rsidR="001C55CD" w:rsidRPr="008C4899" w:rsidRDefault="001C55CD" w:rsidP="00B4194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</w:tcPr>
          <w:p w:rsidR="001C55CD" w:rsidRPr="008C4899" w:rsidRDefault="001C55CD" w:rsidP="00667108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cases of TBili </w:t>
            </w:r>
            <w:r w:rsidR="00667108">
              <w:rPr>
                <w:rFonts w:eastAsia="Times New Roman"/>
              </w:rPr>
              <w:t>&gt;</w:t>
            </w:r>
            <w:r>
              <w:rPr>
                <w:rFonts w:eastAsia="Times New Roman"/>
              </w:rPr>
              <w:t xml:space="preserve"> 2x ULN</w:t>
            </w:r>
          </w:p>
        </w:tc>
      </w:tr>
      <w:tr w:rsidR="001C55CD" w:rsidRPr="008C4899" w:rsidTr="00FD470E">
        <w:tc>
          <w:tcPr>
            <w:tcW w:w="0" w:type="auto"/>
            <w:tcBorders>
              <w:bottom w:val="single" w:sz="4" w:space="0" w:color="auto"/>
            </w:tcBorders>
          </w:tcPr>
          <w:p w:rsidR="001C55CD" w:rsidRDefault="001C55CD" w:rsidP="00B41944">
            <w:pPr>
              <w:pStyle w:val="Table09"/>
              <w:spacing w:beforeLines="40" w:before="96" w:afterLines="40" w:after="96"/>
              <w:ind w:left="180"/>
              <w:rPr>
                <w:rFonts w:eastAsia="Times New Roman"/>
              </w:rPr>
            </w:pPr>
            <w:r>
              <w:rPr>
                <w:rFonts w:eastAsia="Times New Roman"/>
              </w:rPr>
              <w:t>24 wk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C55CD" w:rsidRPr="008C4899" w:rsidRDefault="001C55CD" w:rsidP="00B4194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11.49 ± 6.33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C55CD" w:rsidRPr="008C4899" w:rsidRDefault="001C55CD" w:rsidP="00B4194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9.65 ± 5.00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C55CD" w:rsidRPr="008C4899" w:rsidRDefault="001C55CD" w:rsidP="00B4194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NSD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C55CD" w:rsidRPr="008C4899" w:rsidRDefault="001C55CD" w:rsidP="00B4194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C55CD" w:rsidRPr="008C4899" w:rsidRDefault="001C55CD" w:rsidP="00B41944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</w:tbl>
    <w:p w:rsidR="00663ADE" w:rsidRDefault="00663ADE" w:rsidP="00663ADE"/>
    <w:p w:rsidR="00663ADE" w:rsidRDefault="00663ADE" w:rsidP="00663ADE"/>
    <w:p w:rsidR="00597172" w:rsidRDefault="00853431" w:rsidP="00853431">
      <w:pPr>
        <w:pStyle w:val="Caption"/>
      </w:pPr>
      <w:r>
        <w:t xml:space="preserve">Table </w:t>
      </w:r>
      <w:fldSimple w:instr=" SEQ Table \* ARABIC ">
        <w:r w:rsidR="00FD470E">
          <w:rPr>
            <w:noProof/>
          </w:rPr>
          <w:t>5</w:t>
        </w:r>
      </w:fldSimple>
      <w:r>
        <w:tab/>
        <w:t xml:space="preserve"> </w:t>
      </w:r>
      <w:r w:rsidR="001820FA">
        <w:t xml:space="preserve">Rates of </w:t>
      </w:r>
      <w:r w:rsidR="00663ADE">
        <w:t xml:space="preserve">Increased Liver Enzymes by HIV Status (Mitchell, 2012)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0"/>
        <w:gridCol w:w="988"/>
        <w:gridCol w:w="990"/>
        <w:gridCol w:w="1067"/>
        <w:gridCol w:w="222"/>
        <w:gridCol w:w="4759"/>
      </w:tblGrid>
      <w:tr w:rsidR="0029751F" w:rsidRPr="008C4899" w:rsidTr="00CF27D9">
        <w:trPr>
          <w:tblHeader/>
        </w:trPr>
        <w:tc>
          <w:tcPr>
            <w:tcW w:w="2270" w:type="dxa"/>
            <w:shd w:val="solid" w:color="000000" w:fill="FFFFFF"/>
            <w:vAlign w:val="bottom"/>
          </w:tcPr>
          <w:p w:rsidR="00853431" w:rsidRPr="008C4899" w:rsidRDefault="00853431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Outcome Measures</w:t>
            </w:r>
          </w:p>
        </w:tc>
        <w:tc>
          <w:tcPr>
            <w:tcW w:w="988" w:type="dxa"/>
            <w:shd w:val="solid" w:color="000000" w:fill="FFFFFF"/>
            <w:vAlign w:val="bottom"/>
          </w:tcPr>
          <w:p w:rsidR="00853431" w:rsidRPr="008C4899" w:rsidRDefault="00853431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HIV–</w:t>
            </w:r>
          </w:p>
        </w:tc>
        <w:tc>
          <w:tcPr>
            <w:tcW w:w="990" w:type="dxa"/>
            <w:shd w:val="solid" w:color="000000" w:fill="FFFFFF"/>
            <w:vAlign w:val="bottom"/>
          </w:tcPr>
          <w:p w:rsidR="00853431" w:rsidRPr="008C4899" w:rsidRDefault="00853431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HIV+</w:t>
            </w:r>
          </w:p>
        </w:tc>
        <w:tc>
          <w:tcPr>
            <w:tcW w:w="1067" w:type="dxa"/>
            <w:shd w:val="solid" w:color="000000" w:fill="FFFFFF"/>
            <w:vAlign w:val="bottom"/>
          </w:tcPr>
          <w:p w:rsidR="00853431" w:rsidRPr="008C4899" w:rsidRDefault="00853431" w:rsidP="00853431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All</w:t>
            </w:r>
          </w:p>
        </w:tc>
        <w:tc>
          <w:tcPr>
            <w:tcW w:w="0" w:type="auto"/>
            <w:shd w:val="solid" w:color="000000" w:fill="FFFFFF"/>
            <w:vAlign w:val="bottom"/>
          </w:tcPr>
          <w:p w:rsidR="00853431" w:rsidRPr="008C4899" w:rsidRDefault="00853431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shd w:val="solid" w:color="000000" w:fill="FFFFFF"/>
            <w:vAlign w:val="bottom"/>
          </w:tcPr>
          <w:p w:rsidR="00853431" w:rsidRPr="008C4899" w:rsidRDefault="0048754D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Comments</w:t>
            </w:r>
          </w:p>
        </w:tc>
      </w:tr>
      <w:tr w:rsidR="00853431" w:rsidRPr="008C4899" w:rsidTr="0029751F">
        <w:tc>
          <w:tcPr>
            <w:tcW w:w="0" w:type="auto"/>
            <w:gridSpan w:val="6"/>
            <w:shd w:val="clear" w:color="auto" w:fill="D9D9D9"/>
          </w:tcPr>
          <w:p w:rsidR="00853431" w:rsidRPr="008C4899" w:rsidRDefault="00853431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Alanine aminotransferase</w:t>
            </w:r>
            <w:r w:rsidR="0048754D">
              <w:rPr>
                <w:rFonts w:eastAsia="Times New Roman"/>
              </w:rPr>
              <w:t xml:space="preserve"> 3 x ULN, n/N (%)</w:t>
            </w:r>
          </w:p>
        </w:tc>
      </w:tr>
      <w:tr w:rsidR="0029751F" w:rsidRPr="008C4899" w:rsidTr="00CF27D9">
        <w:tc>
          <w:tcPr>
            <w:tcW w:w="2270" w:type="dxa"/>
          </w:tcPr>
          <w:p w:rsidR="00853431" w:rsidRPr="008C4899" w:rsidRDefault="006248C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ER-NTX</w:t>
            </w:r>
            <w:r w:rsidR="00853431">
              <w:rPr>
                <w:rFonts w:eastAsia="Times New Roman"/>
              </w:rPr>
              <w:t xml:space="preserve"> </w:t>
            </w:r>
          </w:p>
        </w:tc>
        <w:tc>
          <w:tcPr>
            <w:tcW w:w="988" w:type="dxa"/>
          </w:tcPr>
          <w:p w:rsidR="00853431" w:rsidRPr="008C4899" w:rsidRDefault="00853431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990" w:type="dxa"/>
          </w:tcPr>
          <w:p w:rsidR="00853431" w:rsidRPr="008C4899" w:rsidRDefault="00853431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1067" w:type="dxa"/>
          </w:tcPr>
          <w:p w:rsidR="00853431" w:rsidRPr="008C4899" w:rsidRDefault="00853431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53431" w:rsidRPr="008C4899" w:rsidRDefault="00853431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53431" w:rsidRPr="008C4899" w:rsidRDefault="00853431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29751F" w:rsidRPr="008C4899" w:rsidTr="00CF27D9">
        <w:tc>
          <w:tcPr>
            <w:tcW w:w="2270" w:type="dxa"/>
          </w:tcPr>
          <w:p w:rsidR="0048754D" w:rsidRDefault="0048754D" w:rsidP="0048754D">
            <w:pPr>
              <w:pStyle w:val="Table09"/>
              <w:spacing w:beforeLines="40" w:before="96" w:afterLines="40" w:after="96"/>
              <w:ind w:left="180"/>
              <w:rPr>
                <w:rFonts w:eastAsia="Times New Roman"/>
              </w:rPr>
            </w:pPr>
            <w:r>
              <w:rPr>
                <w:rFonts w:eastAsia="Times New Roman"/>
              </w:rPr>
              <w:t>Baseline</w:t>
            </w:r>
          </w:p>
        </w:tc>
        <w:tc>
          <w:tcPr>
            <w:tcW w:w="988" w:type="dxa"/>
          </w:tcPr>
          <w:p w:rsidR="0048754D" w:rsidRPr="008C4899" w:rsidRDefault="0048754D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 / 74 (0.0)</w:t>
            </w:r>
          </w:p>
        </w:tc>
        <w:tc>
          <w:tcPr>
            <w:tcW w:w="990" w:type="dxa"/>
          </w:tcPr>
          <w:p w:rsidR="0048754D" w:rsidRPr="008C4899" w:rsidRDefault="0048754D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 / 52 (0.0)</w:t>
            </w:r>
          </w:p>
        </w:tc>
        <w:tc>
          <w:tcPr>
            <w:tcW w:w="1067" w:type="dxa"/>
          </w:tcPr>
          <w:p w:rsidR="0048754D" w:rsidRPr="008C4899" w:rsidRDefault="0048754D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 / 126 (0.0)</w:t>
            </w:r>
          </w:p>
        </w:tc>
        <w:tc>
          <w:tcPr>
            <w:tcW w:w="0" w:type="auto"/>
          </w:tcPr>
          <w:p w:rsidR="0048754D" w:rsidRPr="008C4899" w:rsidRDefault="0048754D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</w:tcPr>
          <w:p w:rsidR="0048754D" w:rsidRDefault="0048754D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Peak of 11/103 (10.7) at Wk 4. </w:t>
            </w:r>
          </w:p>
          <w:p w:rsidR="0048754D" w:rsidRPr="008C4899" w:rsidRDefault="0048754D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NSDs for </w:t>
            </w:r>
            <w:r w:rsidR="006248C3">
              <w:rPr>
                <w:rFonts w:eastAsia="Times New Roman"/>
              </w:rPr>
              <w:t>ER-NTX</w:t>
            </w:r>
            <w:r>
              <w:rPr>
                <w:rFonts w:eastAsia="Times New Roman"/>
              </w:rPr>
              <w:t xml:space="preserve"> vs. PBO and for HIV– vs. HIV+ gps.</w:t>
            </w:r>
          </w:p>
        </w:tc>
      </w:tr>
      <w:tr w:rsidR="0029751F" w:rsidRPr="008C4899" w:rsidTr="00CF27D9">
        <w:tc>
          <w:tcPr>
            <w:tcW w:w="2270" w:type="dxa"/>
          </w:tcPr>
          <w:p w:rsidR="0048754D" w:rsidRDefault="0048754D" w:rsidP="0048754D">
            <w:pPr>
              <w:pStyle w:val="Table09"/>
              <w:spacing w:beforeLines="40" w:before="96" w:afterLines="40" w:after="96"/>
              <w:ind w:left="180"/>
              <w:rPr>
                <w:rFonts w:eastAsia="Times New Roman"/>
              </w:rPr>
            </w:pPr>
            <w:r>
              <w:rPr>
                <w:rFonts w:eastAsia="Times New Roman"/>
              </w:rPr>
              <w:t>Postbaseline</w:t>
            </w:r>
          </w:p>
        </w:tc>
        <w:tc>
          <w:tcPr>
            <w:tcW w:w="988" w:type="dxa"/>
          </w:tcPr>
          <w:p w:rsidR="0048754D" w:rsidRPr="008C4899" w:rsidRDefault="0048754D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9 / 62 (14.5)</w:t>
            </w:r>
          </w:p>
        </w:tc>
        <w:tc>
          <w:tcPr>
            <w:tcW w:w="990" w:type="dxa"/>
          </w:tcPr>
          <w:p w:rsidR="0048754D" w:rsidRPr="008C4899" w:rsidRDefault="0048754D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12 / 45 (26.7)</w:t>
            </w:r>
          </w:p>
        </w:tc>
        <w:tc>
          <w:tcPr>
            <w:tcW w:w="1067" w:type="dxa"/>
          </w:tcPr>
          <w:p w:rsidR="0048754D" w:rsidRPr="008C4899" w:rsidRDefault="0048754D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21 / 107 (19.6)</w:t>
            </w:r>
          </w:p>
        </w:tc>
        <w:tc>
          <w:tcPr>
            <w:tcW w:w="0" w:type="auto"/>
          </w:tcPr>
          <w:p w:rsidR="0048754D" w:rsidRPr="008C4899" w:rsidRDefault="0048754D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vMerge/>
          </w:tcPr>
          <w:p w:rsidR="0048754D" w:rsidRPr="008C4899" w:rsidRDefault="0048754D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29751F" w:rsidRPr="008C4899" w:rsidTr="00CF27D9">
        <w:tc>
          <w:tcPr>
            <w:tcW w:w="2270" w:type="dxa"/>
          </w:tcPr>
          <w:p w:rsidR="00853431" w:rsidRPr="008C4899" w:rsidRDefault="00853431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PBO</w:t>
            </w:r>
          </w:p>
        </w:tc>
        <w:tc>
          <w:tcPr>
            <w:tcW w:w="988" w:type="dxa"/>
          </w:tcPr>
          <w:p w:rsidR="00853431" w:rsidRPr="008C4899" w:rsidRDefault="00853431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990" w:type="dxa"/>
          </w:tcPr>
          <w:p w:rsidR="00853431" w:rsidRPr="008C4899" w:rsidRDefault="00853431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1067" w:type="dxa"/>
          </w:tcPr>
          <w:p w:rsidR="00853431" w:rsidRPr="008C4899" w:rsidRDefault="00853431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53431" w:rsidRPr="008C4899" w:rsidRDefault="00853431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53431" w:rsidRPr="008C4899" w:rsidRDefault="00853431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29751F" w:rsidRPr="008C4899" w:rsidTr="00CF27D9">
        <w:tc>
          <w:tcPr>
            <w:tcW w:w="2270" w:type="dxa"/>
          </w:tcPr>
          <w:p w:rsidR="0029751F" w:rsidRDefault="0029751F" w:rsidP="0048754D">
            <w:pPr>
              <w:pStyle w:val="Table09"/>
              <w:spacing w:beforeLines="40" w:before="96" w:afterLines="40" w:after="96"/>
              <w:ind w:left="180"/>
              <w:rPr>
                <w:rFonts w:eastAsia="Times New Roman"/>
              </w:rPr>
            </w:pPr>
            <w:r>
              <w:rPr>
                <w:rFonts w:eastAsia="Times New Roman"/>
              </w:rPr>
              <w:t>Baseline</w:t>
            </w:r>
          </w:p>
        </w:tc>
        <w:tc>
          <w:tcPr>
            <w:tcW w:w="988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 / 70 (0.0)</w:t>
            </w:r>
          </w:p>
        </w:tc>
        <w:tc>
          <w:tcPr>
            <w:tcW w:w="990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 / 54 (0.0)</w:t>
            </w:r>
          </w:p>
        </w:tc>
        <w:tc>
          <w:tcPr>
            <w:tcW w:w="1067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 / 124 (0.0)</w:t>
            </w:r>
          </w:p>
        </w:tc>
        <w:tc>
          <w:tcPr>
            <w:tcW w:w="0" w:type="auto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</w:tcPr>
          <w:p w:rsidR="0029751F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Peak of 5 / 81 (6.2) at Wk 4.</w:t>
            </w:r>
          </w:p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NSD for HIV– vs. HIV+ gps.</w:t>
            </w:r>
          </w:p>
        </w:tc>
      </w:tr>
      <w:tr w:rsidR="0029751F" w:rsidRPr="008C4899" w:rsidTr="00CF27D9">
        <w:tc>
          <w:tcPr>
            <w:tcW w:w="2270" w:type="dxa"/>
          </w:tcPr>
          <w:p w:rsidR="0029751F" w:rsidRDefault="0029751F" w:rsidP="0048754D">
            <w:pPr>
              <w:pStyle w:val="Table09"/>
              <w:spacing w:beforeLines="40" w:before="96" w:afterLines="40" w:after="96"/>
              <w:ind w:left="180"/>
              <w:rPr>
                <w:rFonts w:eastAsia="Times New Roman"/>
              </w:rPr>
            </w:pPr>
            <w:r>
              <w:rPr>
                <w:rFonts w:eastAsia="Times New Roman"/>
              </w:rPr>
              <w:t>Postbaseline</w:t>
            </w:r>
          </w:p>
        </w:tc>
        <w:tc>
          <w:tcPr>
            <w:tcW w:w="988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8 / 51 (15.7)</w:t>
            </w:r>
          </w:p>
        </w:tc>
        <w:tc>
          <w:tcPr>
            <w:tcW w:w="990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3 / 34 (8.8)</w:t>
            </w:r>
          </w:p>
        </w:tc>
        <w:tc>
          <w:tcPr>
            <w:tcW w:w="1067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11 / 85 (12.9)</w:t>
            </w:r>
          </w:p>
        </w:tc>
        <w:tc>
          <w:tcPr>
            <w:tcW w:w="0" w:type="auto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vMerge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48754D" w:rsidRPr="008C4899" w:rsidTr="0029751F">
        <w:tc>
          <w:tcPr>
            <w:tcW w:w="0" w:type="auto"/>
            <w:gridSpan w:val="6"/>
            <w:shd w:val="clear" w:color="auto" w:fill="D9D9D9"/>
          </w:tcPr>
          <w:p w:rsidR="0048754D" w:rsidRPr="008C4899" w:rsidRDefault="0048754D" w:rsidP="0029751F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Aspartate aminotransferase</w:t>
            </w:r>
            <w:r w:rsidR="0029751F">
              <w:rPr>
                <w:rFonts w:eastAsia="Times New Roman"/>
              </w:rPr>
              <w:t xml:space="preserve"> 3 x ULN, n/N (%)</w:t>
            </w:r>
          </w:p>
        </w:tc>
      </w:tr>
      <w:tr w:rsidR="0029751F" w:rsidRPr="008C4899" w:rsidTr="00CF27D9">
        <w:tc>
          <w:tcPr>
            <w:tcW w:w="2270" w:type="dxa"/>
          </w:tcPr>
          <w:p w:rsidR="0048754D" w:rsidRPr="008C4899" w:rsidRDefault="006248C3" w:rsidP="0029751F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ER-NTX</w:t>
            </w:r>
          </w:p>
        </w:tc>
        <w:tc>
          <w:tcPr>
            <w:tcW w:w="988" w:type="dxa"/>
          </w:tcPr>
          <w:p w:rsidR="0048754D" w:rsidRPr="008C4899" w:rsidRDefault="0048754D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990" w:type="dxa"/>
          </w:tcPr>
          <w:p w:rsidR="0048754D" w:rsidRPr="008C4899" w:rsidRDefault="0048754D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1067" w:type="dxa"/>
          </w:tcPr>
          <w:p w:rsidR="0048754D" w:rsidRPr="008C4899" w:rsidRDefault="0048754D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8754D" w:rsidRPr="008C4899" w:rsidRDefault="0048754D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8754D" w:rsidRPr="008C4899" w:rsidRDefault="0048754D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29751F" w:rsidRPr="008C4899" w:rsidTr="00CF27D9">
        <w:tc>
          <w:tcPr>
            <w:tcW w:w="2270" w:type="dxa"/>
          </w:tcPr>
          <w:p w:rsidR="0029751F" w:rsidRDefault="0029751F" w:rsidP="00172194">
            <w:pPr>
              <w:pStyle w:val="Table09"/>
              <w:spacing w:beforeLines="40" w:before="96" w:afterLines="40" w:after="96"/>
              <w:ind w:left="180"/>
              <w:rPr>
                <w:rFonts w:eastAsia="Times New Roman"/>
              </w:rPr>
            </w:pPr>
            <w:r>
              <w:rPr>
                <w:rFonts w:eastAsia="Times New Roman"/>
              </w:rPr>
              <w:t>Baseline</w:t>
            </w:r>
          </w:p>
        </w:tc>
        <w:tc>
          <w:tcPr>
            <w:tcW w:w="988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 / 74 (0.0)</w:t>
            </w:r>
          </w:p>
        </w:tc>
        <w:tc>
          <w:tcPr>
            <w:tcW w:w="990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 / 52 (0.0)</w:t>
            </w:r>
          </w:p>
        </w:tc>
        <w:tc>
          <w:tcPr>
            <w:tcW w:w="1067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 / 126 (0.0)</w:t>
            </w:r>
          </w:p>
        </w:tc>
        <w:tc>
          <w:tcPr>
            <w:tcW w:w="0" w:type="auto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</w:tcPr>
          <w:p w:rsidR="0029751F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Peak of 9 / 103 (8.7) at Wk 4.</w:t>
            </w:r>
          </w:p>
          <w:p w:rsidR="0029751F" w:rsidRPr="008C4899" w:rsidRDefault="0029751F" w:rsidP="00B508E3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NSDs for </w:t>
            </w:r>
            <w:r w:rsidR="006248C3">
              <w:rPr>
                <w:rFonts w:eastAsia="Times New Roman"/>
              </w:rPr>
              <w:t>ER-NTX</w:t>
            </w:r>
            <w:r>
              <w:rPr>
                <w:rFonts w:eastAsia="Times New Roman"/>
              </w:rPr>
              <w:t xml:space="preserve"> vs. PBO and for HIV– vs. HIV+ gps </w:t>
            </w:r>
          </w:p>
        </w:tc>
      </w:tr>
      <w:tr w:rsidR="0029751F" w:rsidRPr="008C4899" w:rsidTr="00CF27D9">
        <w:tc>
          <w:tcPr>
            <w:tcW w:w="2270" w:type="dxa"/>
          </w:tcPr>
          <w:p w:rsidR="0029751F" w:rsidRDefault="0029751F" w:rsidP="00172194">
            <w:pPr>
              <w:pStyle w:val="Table09"/>
              <w:spacing w:beforeLines="40" w:before="96" w:afterLines="40" w:after="96"/>
              <w:ind w:left="180"/>
              <w:rPr>
                <w:rFonts w:eastAsia="Times New Roman"/>
              </w:rPr>
            </w:pPr>
            <w:r>
              <w:rPr>
                <w:rFonts w:eastAsia="Times New Roman"/>
              </w:rPr>
              <w:t>Postbaseline</w:t>
            </w:r>
          </w:p>
        </w:tc>
        <w:tc>
          <w:tcPr>
            <w:tcW w:w="988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2 / 62 (3.2)</w:t>
            </w:r>
          </w:p>
        </w:tc>
        <w:tc>
          <w:tcPr>
            <w:tcW w:w="990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13 / 45 (28.9)</w:t>
            </w:r>
          </w:p>
        </w:tc>
        <w:tc>
          <w:tcPr>
            <w:tcW w:w="1067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15 / 107 (14.0)</w:t>
            </w:r>
          </w:p>
        </w:tc>
        <w:tc>
          <w:tcPr>
            <w:tcW w:w="0" w:type="auto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vMerge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29751F" w:rsidRPr="008C4899" w:rsidTr="00CF27D9">
        <w:tc>
          <w:tcPr>
            <w:tcW w:w="2270" w:type="dxa"/>
          </w:tcPr>
          <w:p w:rsidR="0029751F" w:rsidRPr="008C4899" w:rsidRDefault="0029751F" w:rsidP="0029751F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PBO</w:t>
            </w:r>
          </w:p>
        </w:tc>
        <w:tc>
          <w:tcPr>
            <w:tcW w:w="988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990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1067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29751F" w:rsidRPr="008C4899" w:rsidTr="00CF27D9">
        <w:tc>
          <w:tcPr>
            <w:tcW w:w="2270" w:type="dxa"/>
          </w:tcPr>
          <w:p w:rsidR="0029751F" w:rsidRDefault="0029751F" w:rsidP="00172194">
            <w:pPr>
              <w:pStyle w:val="Table09"/>
              <w:spacing w:beforeLines="40" w:before="96" w:afterLines="40" w:after="96"/>
              <w:ind w:left="180"/>
              <w:rPr>
                <w:rFonts w:eastAsia="Times New Roman"/>
              </w:rPr>
            </w:pPr>
            <w:r>
              <w:rPr>
                <w:rFonts w:eastAsia="Times New Roman"/>
              </w:rPr>
              <w:t>Baseline</w:t>
            </w:r>
          </w:p>
        </w:tc>
        <w:tc>
          <w:tcPr>
            <w:tcW w:w="988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 / 70 (0.0)</w:t>
            </w:r>
          </w:p>
        </w:tc>
        <w:tc>
          <w:tcPr>
            <w:tcW w:w="990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 / 54 (0.0)</w:t>
            </w:r>
          </w:p>
        </w:tc>
        <w:tc>
          <w:tcPr>
            <w:tcW w:w="1067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 / 124 (0.0)</w:t>
            </w:r>
          </w:p>
        </w:tc>
        <w:tc>
          <w:tcPr>
            <w:tcW w:w="0" w:type="auto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</w:tcPr>
          <w:p w:rsidR="0029751F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Peak of 5 / 81 (6.2) at Wk 4.</w:t>
            </w:r>
          </w:p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NSD between HIV- and HIV+ gps.</w:t>
            </w:r>
          </w:p>
        </w:tc>
      </w:tr>
      <w:tr w:rsidR="0029751F" w:rsidRPr="008C4899" w:rsidTr="00CF27D9">
        <w:tc>
          <w:tcPr>
            <w:tcW w:w="2270" w:type="dxa"/>
          </w:tcPr>
          <w:p w:rsidR="0029751F" w:rsidRDefault="0029751F" w:rsidP="00172194">
            <w:pPr>
              <w:pStyle w:val="Table09"/>
              <w:spacing w:beforeLines="40" w:before="96" w:afterLines="40" w:after="96"/>
              <w:ind w:left="180"/>
              <w:rPr>
                <w:rFonts w:eastAsia="Times New Roman"/>
              </w:rPr>
            </w:pPr>
            <w:r>
              <w:rPr>
                <w:rFonts w:eastAsia="Times New Roman"/>
              </w:rPr>
              <w:t>Postbaseline</w:t>
            </w:r>
          </w:p>
        </w:tc>
        <w:tc>
          <w:tcPr>
            <w:tcW w:w="988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5 / 51 (9.8)</w:t>
            </w:r>
          </w:p>
        </w:tc>
        <w:tc>
          <w:tcPr>
            <w:tcW w:w="990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4 / 34 (11.8)</w:t>
            </w:r>
          </w:p>
        </w:tc>
        <w:tc>
          <w:tcPr>
            <w:tcW w:w="1067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9 / 85 (10.6)</w:t>
            </w:r>
          </w:p>
        </w:tc>
        <w:tc>
          <w:tcPr>
            <w:tcW w:w="0" w:type="auto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vMerge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29751F" w:rsidRPr="008C4899" w:rsidTr="0029751F">
        <w:tc>
          <w:tcPr>
            <w:tcW w:w="0" w:type="auto"/>
            <w:gridSpan w:val="6"/>
            <w:shd w:val="clear" w:color="auto" w:fill="D9D9D9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Gamma-glutamyl transferase</w:t>
            </w:r>
            <w:r w:rsidR="00CF27D9">
              <w:rPr>
                <w:rFonts w:eastAsia="Times New Roman"/>
              </w:rPr>
              <w:t xml:space="preserve"> 3 x ULN, n/N (%)</w:t>
            </w:r>
          </w:p>
        </w:tc>
      </w:tr>
      <w:tr w:rsidR="0029751F" w:rsidRPr="008C4899" w:rsidTr="00CF27D9">
        <w:tc>
          <w:tcPr>
            <w:tcW w:w="2270" w:type="dxa"/>
          </w:tcPr>
          <w:p w:rsidR="0029751F" w:rsidRPr="008C4899" w:rsidRDefault="006248C3" w:rsidP="00CF27D9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ER-NTX</w:t>
            </w:r>
            <w:r w:rsidR="0029751F">
              <w:rPr>
                <w:rFonts w:eastAsia="Times New Roman"/>
              </w:rPr>
              <w:t xml:space="preserve"> </w:t>
            </w:r>
          </w:p>
        </w:tc>
        <w:tc>
          <w:tcPr>
            <w:tcW w:w="988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990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1067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B508E3" w:rsidRPr="008C4899" w:rsidTr="00CF27D9">
        <w:tc>
          <w:tcPr>
            <w:tcW w:w="2270" w:type="dxa"/>
          </w:tcPr>
          <w:p w:rsidR="00B508E3" w:rsidRDefault="00B508E3" w:rsidP="00172194">
            <w:pPr>
              <w:pStyle w:val="Table09"/>
              <w:spacing w:beforeLines="40" w:before="96" w:afterLines="40" w:after="96"/>
              <w:ind w:left="180"/>
              <w:rPr>
                <w:rFonts w:eastAsia="Times New Roman"/>
              </w:rPr>
            </w:pPr>
            <w:r>
              <w:rPr>
                <w:rFonts w:eastAsia="Times New Roman"/>
              </w:rPr>
              <w:t>Baseline</w:t>
            </w:r>
          </w:p>
        </w:tc>
        <w:tc>
          <w:tcPr>
            <w:tcW w:w="988" w:type="dxa"/>
          </w:tcPr>
          <w:p w:rsidR="00B508E3" w:rsidRPr="008C4899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10 / 74 (13.5)</w:t>
            </w:r>
          </w:p>
        </w:tc>
        <w:tc>
          <w:tcPr>
            <w:tcW w:w="990" w:type="dxa"/>
          </w:tcPr>
          <w:p w:rsidR="00B508E3" w:rsidRPr="008C4899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13 / 52 (25)</w:t>
            </w:r>
          </w:p>
        </w:tc>
        <w:tc>
          <w:tcPr>
            <w:tcW w:w="1067" w:type="dxa"/>
          </w:tcPr>
          <w:p w:rsidR="00B508E3" w:rsidRPr="008C4899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23 / 126 (18.3)</w:t>
            </w:r>
          </w:p>
        </w:tc>
        <w:tc>
          <w:tcPr>
            <w:tcW w:w="0" w:type="auto"/>
          </w:tcPr>
          <w:p w:rsidR="00B508E3" w:rsidRPr="008C4899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</w:tcPr>
          <w:p w:rsidR="00B508E3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Highest % was at BL. Postbaseline peak of 18 / 103 (17.5) at Wk 4.</w:t>
            </w:r>
          </w:p>
          <w:p w:rsidR="00B508E3" w:rsidRPr="008C4899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 w:rsidRPr="00B508E3">
              <w:rPr>
                <w:rFonts w:eastAsia="Times New Roman"/>
              </w:rPr>
              <w:t xml:space="preserve">NSDs for </w:t>
            </w:r>
            <w:r w:rsidR="006248C3">
              <w:rPr>
                <w:rFonts w:eastAsia="Times New Roman"/>
              </w:rPr>
              <w:t>ER-NTX</w:t>
            </w:r>
            <w:r w:rsidRPr="00B508E3">
              <w:rPr>
                <w:rFonts w:eastAsia="Times New Roman"/>
              </w:rPr>
              <w:t xml:space="preserve"> vs. PBO and for HIV– vs. HIV+ gps</w:t>
            </w:r>
          </w:p>
        </w:tc>
      </w:tr>
      <w:tr w:rsidR="00B508E3" w:rsidRPr="008C4899" w:rsidTr="00CF27D9">
        <w:tc>
          <w:tcPr>
            <w:tcW w:w="2270" w:type="dxa"/>
          </w:tcPr>
          <w:p w:rsidR="00B508E3" w:rsidRDefault="00B508E3" w:rsidP="00172194">
            <w:pPr>
              <w:pStyle w:val="Table09"/>
              <w:spacing w:beforeLines="40" w:before="96" w:afterLines="40" w:after="96"/>
              <w:ind w:left="180"/>
              <w:rPr>
                <w:rFonts w:eastAsia="Times New Roman"/>
              </w:rPr>
            </w:pPr>
            <w:r>
              <w:rPr>
                <w:rFonts w:eastAsia="Times New Roman"/>
              </w:rPr>
              <w:t>Postbaseline</w:t>
            </w:r>
          </w:p>
        </w:tc>
        <w:tc>
          <w:tcPr>
            <w:tcW w:w="988" w:type="dxa"/>
          </w:tcPr>
          <w:p w:rsidR="00B508E3" w:rsidRPr="008C4899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11 / 62 (17.7)</w:t>
            </w:r>
          </w:p>
        </w:tc>
        <w:tc>
          <w:tcPr>
            <w:tcW w:w="990" w:type="dxa"/>
          </w:tcPr>
          <w:p w:rsidR="00B508E3" w:rsidRPr="008C4899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14 / 45 (31.1)</w:t>
            </w:r>
          </w:p>
        </w:tc>
        <w:tc>
          <w:tcPr>
            <w:tcW w:w="1067" w:type="dxa"/>
          </w:tcPr>
          <w:p w:rsidR="00B508E3" w:rsidRPr="008C4899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25 / 107 (23.4)</w:t>
            </w:r>
          </w:p>
        </w:tc>
        <w:tc>
          <w:tcPr>
            <w:tcW w:w="0" w:type="auto"/>
          </w:tcPr>
          <w:p w:rsidR="00B508E3" w:rsidRPr="008C4899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vMerge/>
          </w:tcPr>
          <w:p w:rsidR="00B508E3" w:rsidRPr="008C4899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29751F" w:rsidRPr="008C4899" w:rsidTr="00CF27D9">
        <w:tc>
          <w:tcPr>
            <w:tcW w:w="2270" w:type="dxa"/>
          </w:tcPr>
          <w:p w:rsidR="0029751F" w:rsidRPr="008C4899" w:rsidRDefault="0029751F" w:rsidP="00CF27D9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PBO</w:t>
            </w:r>
          </w:p>
        </w:tc>
        <w:tc>
          <w:tcPr>
            <w:tcW w:w="988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990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1067" w:type="dxa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29751F" w:rsidRPr="008C4899" w:rsidRDefault="0029751F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B508E3" w:rsidRPr="008C4899" w:rsidTr="00CF27D9">
        <w:tc>
          <w:tcPr>
            <w:tcW w:w="2270" w:type="dxa"/>
          </w:tcPr>
          <w:p w:rsidR="00B508E3" w:rsidRDefault="00B508E3" w:rsidP="00172194">
            <w:pPr>
              <w:pStyle w:val="Table09"/>
              <w:spacing w:beforeLines="40" w:before="96" w:afterLines="40" w:after="96"/>
              <w:ind w:left="180"/>
              <w:rPr>
                <w:rFonts w:eastAsia="Times New Roman"/>
              </w:rPr>
            </w:pPr>
            <w:r>
              <w:rPr>
                <w:rFonts w:eastAsia="Times New Roman"/>
              </w:rPr>
              <w:t>Baseline</w:t>
            </w:r>
          </w:p>
        </w:tc>
        <w:tc>
          <w:tcPr>
            <w:tcW w:w="988" w:type="dxa"/>
          </w:tcPr>
          <w:p w:rsidR="00B508E3" w:rsidRPr="008C4899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11 / 70 (15.7)</w:t>
            </w:r>
          </w:p>
        </w:tc>
        <w:tc>
          <w:tcPr>
            <w:tcW w:w="990" w:type="dxa"/>
          </w:tcPr>
          <w:p w:rsidR="00B508E3" w:rsidRPr="008C4899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14 / 54 (25.9)</w:t>
            </w:r>
          </w:p>
        </w:tc>
        <w:tc>
          <w:tcPr>
            <w:tcW w:w="1067" w:type="dxa"/>
          </w:tcPr>
          <w:p w:rsidR="00B508E3" w:rsidRPr="008C4899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25 / 124 (20.2)</w:t>
            </w:r>
          </w:p>
        </w:tc>
        <w:tc>
          <w:tcPr>
            <w:tcW w:w="0" w:type="auto"/>
          </w:tcPr>
          <w:p w:rsidR="00B508E3" w:rsidRPr="008C4899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</w:tcPr>
          <w:p w:rsidR="00B508E3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Highest % was at BL.  Postbaseline peak of 12 / 81 (14.8) at Wk 4.</w:t>
            </w:r>
          </w:p>
          <w:p w:rsidR="00B508E3" w:rsidRPr="008C4899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 w:rsidRPr="00B508E3">
              <w:rPr>
                <w:rFonts w:eastAsia="Times New Roman"/>
              </w:rPr>
              <w:t>NSD between HIV- and HIV+ gps.</w:t>
            </w:r>
          </w:p>
        </w:tc>
      </w:tr>
      <w:tr w:rsidR="00B508E3" w:rsidRPr="008C4899" w:rsidTr="00CF27D9">
        <w:tc>
          <w:tcPr>
            <w:tcW w:w="2270" w:type="dxa"/>
            <w:tcBorders>
              <w:bottom w:val="single" w:sz="4" w:space="0" w:color="auto"/>
            </w:tcBorders>
          </w:tcPr>
          <w:p w:rsidR="00B508E3" w:rsidRDefault="00B508E3" w:rsidP="00172194">
            <w:pPr>
              <w:pStyle w:val="Table09"/>
              <w:spacing w:beforeLines="40" w:before="96" w:afterLines="40" w:after="96"/>
              <w:ind w:left="180"/>
              <w:rPr>
                <w:rFonts w:eastAsia="Times New Roman"/>
              </w:rPr>
            </w:pPr>
            <w:r>
              <w:rPr>
                <w:rFonts w:eastAsia="Times New Roman"/>
              </w:rPr>
              <w:t>Postbaseline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508E3" w:rsidRPr="008C4899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11 / 51 (21.6)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508E3" w:rsidRPr="008C4899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7 / 34 (20.6)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B508E3" w:rsidRPr="008C4899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18 / 85 (21.2)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8E3" w:rsidRPr="008C4899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508E3" w:rsidRPr="008C4899" w:rsidRDefault="00B508E3" w:rsidP="0048754D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</w:tbl>
    <w:p w:rsidR="00853431" w:rsidRDefault="00B508E3" w:rsidP="00B508E3">
      <w:pPr>
        <w:pStyle w:val="TableFootnote8"/>
      </w:pPr>
      <w:r>
        <w:t xml:space="preserve">Level of significance </w:t>
      </w:r>
      <w:r w:rsidR="00FD470E">
        <w:t xml:space="preserve">was </w:t>
      </w:r>
      <w:r>
        <w:t xml:space="preserve">adjusted for multiplicity </w:t>
      </w:r>
      <w:r w:rsidR="00FD470E">
        <w:t>to p &lt; 0.003 using Bonferroni method</w:t>
      </w:r>
      <w:r>
        <w:t>.</w:t>
      </w:r>
    </w:p>
    <w:p w:rsidR="00853431" w:rsidRDefault="00853431"/>
    <w:p w:rsidR="008105B6" w:rsidRDefault="00542A9B" w:rsidP="00542A9B">
      <w:pPr>
        <w:pStyle w:val="Caption"/>
      </w:pPr>
      <w:r>
        <w:t xml:space="preserve">Table </w:t>
      </w:r>
      <w:fldSimple w:instr=" SEQ Table \* ARABIC ">
        <w:r w:rsidR="00FD470E">
          <w:rPr>
            <w:noProof/>
          </w:rPr>
          <w:t>6</w:t>
        </w:r>
      </w:fldSimple>
      <w:r>
        <w:tab/>
        <w:t xml:space="preserve">Results from Long-term </w:t>
      </w:r>
      <w:r w:rsidR="00B24C75">
        <w:t xml:space="preserve">Open-label </w:t>
      </w:r>
      <w:r>
        <w:t>Safety and Effectiveness Study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8"/>
        <w:gridCol w:w="1260"/>
        <w:gridCol w:w="1260"/>
        <w:gridCol w:w="1260"/>
        <w:gridCol w:w="270"/>
        <w:gridCol w:w="3168"/>
      </w:tblGrid>
      <w:tr w:rsidR="00EA64B4" w:rsidRPr="008C4899" w:rsidTr="00FD470E">
        <w:trPr>
          <w:tblHeader/>
        </w:trPr>
        <w:tc>
          <w:tcPr>
            <w:tcW w:w="3078" w:type="dxa"/>
            <w:shd w:val="solid" w:color="000000" w:fill="FFFFFF"/>
            <w:vAlign w:val="bottom"/>
          </w:tcPr>
          <w:p w:rsidR="008105B6" w:rsidRPr="008C4899" w:rsidRDefault="008105B6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Outcome Measures</w:t>
            </w:r>
          </w:p>
        </w:tc>
        <w:tc>
          <w:tcPr>
            <w:tcW w:w="1260" w:type="dxa"/>
            <w:shd w:val="solid" w:color="000000" w:fill="FFFFFF"/>
            <w:vAlign w:val="bottom"/>
          </w:tcPr>
          <w:p w:rsidR="008105B6" w:rsidRDefault="006248C3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ER-NTX</w:t>
            </w:r>
            <w:r w:rsidR="005C243D">
              <w:rPr>
                <w:rFonts w:eastAsia="Times New Roman"/>
              </w:rPr>
              <w:t xml:space="preserve"> / </w:t>
            </w:r>
            <w:r>
              <w:rPr>
                <w:rFonts w:eastAsia="Times New Roman"/>
              </w:rPr>
              <w:t>ER-NTX</w:t>
            </w:r>
          </w:p>
          <w:p w:rsidR="008105B6" w:rsidRPr="008C4899" w:rsidRDefault="008105B6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B24C75"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t>=</w:t>
            </w:r>
            <w:r w:rsidR="00B24C75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260" w:type="dxa"/>
            <w:shd w:val="solid" w:color="000000" w:fill="FFFFFF"/>
            <w:vAlign w:val="bottom"/>
          </w:tcPr>
          <w:p w:rsidR="008105B6" w:rsidRDefault="008105B6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PBO</w:t>
            </w:r>
            <w:r w:rsidR="005C243D">
              <w:rPr>
                <w:rFonts w:eastAsia="Times New Roman"/>
              </w:rPr>
              <w:t xml:space="preserve"> / </w:t>
            </w:r>
            <w:r w:rsidR="006248C3">
              <w:rPr>
                <w:rFonts w:eastAsia="Times New Roman"/>
              </w:rPr>
              <w:t>ER-NTX</w:t>
            </w:r>
          </w:p>
          <w:p w:rsidR="008105B6" w:rsidRPr="008C4899" w:rsidRDefault="008105B6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B24C75"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t>=</w:t>
            </w:r>
            <w:r w:rsidR="00B24C75">
              <w:rPr>
                <w:rFonts w:eastAsia="Times New Roman"/>
              </w:rPr>
              <w:t>47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260" w:type="dxa"/>
            <w:shd w:val="solid" w:color="000000" w:fill="FFFFFF"/>
            <w:vAlign w:val="bottom"/>
          </w:tcPr>
          <w:p w:rsidR="008105B6" w:rsidRPr="008C4899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Overall</w:t>
            </w:r>
            <w:r w:rsidR="008105B6">
              <w:rPr>
                <w:rFonts w:eastAsia="Times New Roman"/>
              </w:rPr>
              <w:t xml:space="preserve"> </w:t>
            </w:r>
            <w:r w:rsidR="008105B6">
              <w:rPr>
                <w:rFonts w:eastAsia="Times New Roman"/>
              </w:rPr>
              <w:br/>
            </w:r>
            <w:r w:rsidR="005944C8">
              <w:rPr>
                <w:rFonts w:eastAsia="Times New Roman"/>
              </w:rPr>
              <w:t>(n=114)</w:t>
            </w:r>
          </w:p>
        </w:tc>
        <w:tc>
          <w:tcPr>
            <w:tcW w:w="270" w:type="dxa"/>
            <w:shd w:val="solid" w:color="000000" w:fill="FFFFFF"/>
            <w:vAlign w:val="bottom"/>
          </w:tcPr>
          <w:p w:rsidR="008105B6" w:rsidRPr="008C4899" w:rsidRDefault="008105B6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3168" w:type="dxa"/>
            <w:shd w:val="solid" w:color="000000" w:fill="FFFFFF"/>
            <w:vAlign w:val="bottom"/>
          </w:tcPr>
          <w:p w:rsidR="008105B6" w:rsidRPr="008C4899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Comments</w:t>
            </w:r>
          </w:p>
        </w:tc>
      </w:tr>
      <w:tr w:rsidR="008105B6" w:rsidRPr="008C4899" w:rsidTr="001820FA">
        <w:tc>
          <w:tcPr>
            <w:tcW w:w="0" w:type="auto"/>
            <w:gridSpan w:val="6"/>
            <w:shd w:val="clear" w:color="auto" w:fill="D9D9D9"/>
          </w:tcPr>
          <w:p w:rsidR="008105B6" w:rsidRPr="008C4899" w:rsidRDefault="00B24C75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Retention and Durability of Effects</w:t>
            </w:r>
          </w:p>
        </w:tc>
      </w:tr>
      <w:tr w:rsidR="00EA64B4" w:rsidRPr="008C4899" w:rsidTr="00FD470E">
        <w:tc>
          <w:tcPr>
            <w:tcW w:w="3078" w:type="dxa"/>
          </w:tcPr>
          <w:p w:rsidR="008105B6" w:rsidRPr="008C4899" w:rsidRDefault="00B24C75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Completed 1-yr </w:t>
            </w:r>
            <w:r w:rsidR="005C243D">
              <w:rPr>
                <w:rFonts w:eastAsia="Times New Roman"/>
              </w:rPr>
              <w:t xml:space="preserve">OL </w:t>
            </w:r>
            <w:r>
              <w:rPr>
                <w:rFonts w:eastAsia="Times New Roman"/>
              </w:rPr>
              <w:t>study, %</w:t>
            </w:r>
            <w:r w:rsidR="005C243D">
              <w:rPr>
                <w:rFonts w:eastAsia="Times New Roman"/>
              </w:rPr>
              <w:t xml:space="preserve"> (95% CI)</w:t>
            </w:r>
          </w:p>
        </w:tc>
        <w:tc>
          <w:tcPr>
            <w:tcW w:w="1260" w:type="dxa"/>
          </w:tcPr>
          <w:p w:rsidR="008105B6" w:rsidRPr="008C4899" w:rsidRDefault="00B24C75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58.2</w:t>
            </w:r>
            <w:r w:rsidR="005C243D">
              <w:rPr>
                <w:rFonts w:eastAsia="Times New Roman"/>
              </w:rPr>
              <w:t xml:space="preserve"> (45.4–70.2)</w:t>
            </w:r>
          </w:p>
        </w:tc>
        <w:tc>
          <w:tcPr>
            <w:tcW w:w="1260" w:type="dxa"/>
          </w:tcPr>
          <w:p w:rsidR="008105B6" w:rsidRPr="008C4899" w:rsidRDefault="00B24C75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68.1</w:t>
            </w:r>
            <w:r w:rsidR="005C243D">
              <w:rPr>
                <w:rFonts w:eastAsia="Times New Roman"/>
              </w:rPr>
              <w:t xml:space="preserve"> (52.9–80.9)</w:t>
            </w:r>
          </w:p>
        </w:tc>
        <w:tc>
          <w:tcPr>
            <w:tcW w:w="1260" w:type="dxa"/>
          </w:tcPr>
          <w:p w:rsidR="008105B6" w:rsidRPr="008C4899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62.3 (52.7–71.2)</w:t>
            </w:r>
          </w:p>
        </w:tc>
        <w:tc>
          <w:tcPr>
            <w:tcW w:w="270" w:type="dxa"/>
          </w:tcPr>
          <w:p w:rsidR="008105B6" w:rsidRPr="008C4899" w:rsidRDefault="008105B6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3168" w:type="dxa"/>
          </w:tcPr>
          <w:p w:rsidR="008105B6" w:rsidRPr="008C4899" w:rsidRDefault="008105B6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EA64B4" w:rsidRPr="008C4899" w:rsidTr="00FD470E">
        <w:tc>
          <w:tcPr>
            <w:tcW w:w="3078" w:type="dxa"/>
          </w:tcPr>
          <w:p w:rsidR="008105B6" w:rsidRPr="008C4899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Retention x 1.5 yr of tx, % (95% CI)</w:t>
            </w:r>
          </w:p>
        </w:tc>
        <w:tc>
          <w:tcPr>
            <w:tcW w:w="1260" w:type="dxa"/>
          </w:tcPr>
          <w:p w:rsidR="008105B6" w:rsidRPr="008C4899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31% (23.0–39.8)</w:t>
            </w:r>
          </w:p>
        </w:tc>
        <w:tc>
          <w:tcPr>
            <w:tcW w:w="1260" w:type="dxa"/>
          </w:tcPr>
          <w:p w:rsidR="008105B6" w:rsidRPr="008C4899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1260" w:type="dxa"/>
          </w:tcPr>
          <w:p w:rsidR="008105B6" w:rsidRPr="008C4899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270" w:type="dxa"/>
          </w:tcPr>
          <w:p w:rsidR="008105B6" w:rsidRPr="008C4899" w:rsidRDefault="008105B6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3168" w:type="dxa"/>
          </w:tcPr>
          <w:p w:rsidR="008105B6" w:rsidRPr="008C4899" w:rsidRDefault="008105B6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EA64B4" w:rsidRPr="008C4899" w:rsidTr="00FD470E">
        <w:tc>
          <w:tcPr>
            <w:tcW w:w="3078" w:type="dxa"/>
          </w:tcPr>
          <w:p w:rsidR="005C243D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Abstinent x 1-yr of OL tx, %</w:t>
            </w:r>
            <w:r w:rsidR="00FD470E">
              <w:rPr>
                <w:rFonts w:eastAsia="Times New Roman"/>
              </w:rPr>
              <w:t xml:space="preserve"> </w:t>
            </w:r>
            <w:r w:rsidR="00FD470E" w:rsidRPr="00FD470E">
              <w:rPr>
                <w:rFonts w:eastAsia="Times New Roman"/>
              </w:rPr>
              <w:t>(95% CI)</w:t>
            </w:r>
          </w:p>
        </w:tc>
        <w:tc>
          <w:tcPr>
            <w:tcW w:w="1260" w:type="dxa"/>
          </w:tcPr>
          <w:p w:rsidR="005C243D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49.3</w:t>
            </w:r>
          </w:p>
        </w:tc>
        <w:tc>
          <w:tcPr>
            <w:tcW w:w="1260" w:type="dxa"/>
          </w:tcPr>
          <w:p w:rsidR="005C243D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53.2</w:t>
            </w:r>
          </w:p>
        </w:tc>
        <w:tc>
          <w:tcPr>
            <w:tcW w:w="1260" w:type="dxa"/>
          </w:tcPr>
          <w:p w:rsidR="005C243D" w:rsidRPr="008C4899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50.9 (41.5–60.4)</w:t>
            </w:r>
          </w:p>
        </w:tc>
        <w:tc>
          <w:tcPr>
            <w:tcW w:w="270" w:type="dxa"/>
          </w:tcPr>
          <w:p w:rsidR="005C243D" w:rsidRPr="008C4899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3168" w:type="dxa"/>
          </w:tcPr>
          <w:p w:rsidR="005C243D" w:rsidRPr="008C4899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EA64B4" w:rsidRPr="008C4899" w:rsidTr="00FD470E">
        <w:tc>
          <w:tcPr>
            <w:tcW w:w="3078" w:type="dxa"/>
          </w:tcPr>
          <w:p w:rsidR="005C243D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Opioid-negative UDTs, % of UDTs ± SD</w:t>
            </w:r>
          </w:p>
        </w:tc>
        <w:tc>
          <w:tcPr>
            <w:tcW w:w="1260" w:type="dxa"/>
          </w:tcPr>
          <w:p w:rsidR="005C243D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73.7 ± 33.2</w:t>
            </w:r>
          </w:p>
        </w:tc>
        <w:tc>
          <w:tcPr>
            <w:tcW w:w="1260" w:type="dxa"/>
          </w:tcPr>
          <w:p w:rsidR="005C243D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81.0 ± 28.6</w:t>
            </w:r>
          </w:p>
        </w:tc>
        <w:tc>
          <w:tcPr>
            <w:tcW w:w="1260" w:type="dxa"/>
          </w:tcPr>
          <w:p w:rsidR="005C243D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76.7</w:t>
            </w:r>
          </w:p>
        </w:tc>
        <w:tc>
          <w:tcPr>
            <w:tcW w:w="270" w:type="dxa"/>
          </w:tcPr>
          <w:p w:rsidR="005C243D" w:rsidRPr="008C4899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3168" w:type="dxa"/>
          </w:tcPr>
          <w:p w:rsidR="005C243D" w:rsidRPr="008C4899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853431" w:rsidRPr="008C4899" w:rsidTr="00FD470E">
        <w:tc>
          <w:tcPr>
            <w:tcW w:w="3078" w:type="dxa"/>
          </w:tcPr>
          <w:p w:rsidR="005C243D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Percent of opioid-free days, % ± SD</w:t>
            </w:r>
          </w:p>
        </w:tc>
        <w:tc>
          <w:tcPr>
            <w:tcW w:w="1260" w:type="dxa"/>
          </w:tcPr>
          <w:p w:rsidR="005C243D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80.6 ± 29.7</w:t>
            </w:r>
          </w:p>
        </w:tc>
        <w:tc>
          <w:tcPr>
            <w:tcW w:w="1260" w:type="dxa"/>
          </w:tcPr>
          <w:p w:rsidR="005C243D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87.4 ± 23.8</w:t>
            </w:r>
          </w:p>
        </w:tc>
        <w:tc>
          <w:tcPr>
            <w:tcW w:w="1260" w:type="dxa"/>
          </w:tcPr>
          <w:p w:rsidR="005C243D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83.4 ± 27.5</w:t>
            </w:r>
          </w:p>
        </w:tc>
        <w:tc>
          <w:tcPr>
            <w:tcW w:w="270" w:type="dxa"/>
          </w:tcPr>
          <w:p w:rsidR="005C243D" w:rsidRPr="008C4899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3168" w:type="dxa"/>
          </w:tcPr>
          <w:p w:rsidR="005C243D" w:rsidRPr="008C4899" w:rsidRDefault="005C243D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3/47 pts on DB PBO had opioid-positive UDT at start of OL phase</w:t>
            </w:r>
          </w:p>
        </w:tc>
      </w:tr>
      <w:tr w:rsidR="00EA64B4" w:rsidRPr="008C4899" w:rsidTr="00FD470E">
        <w:tc>
          <w:tcPr>
            <w:tcW w:w="3078" w:type="dxa"/>
          </w:tcPr>
          <w:p w:rsidR="00872627" w:rsidRDefault="00872627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Addiction Severity Index for Opioids, OL BL / EOT, score ± SD</w:t>
            </w:r>
          </w:p>
        </w:tc>
        <w:tc>
          <w:tcPr>
            <w:tcW w:w="1260" w:type="dxa"/>
          </w:tcPr>
          <w:p w:rsidR="00872627" w:rsidRDefault="00872627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0.3 ± 1.5 / 0.1 ± 0.5</w:t>
            </w:r>
          </w:p>
        </w:tc>
        <w:tc>
          <w:tcPr>
            <w:tcW w:w="1260" w:type="dxa"/>
          </w:tcPr>
          <w:p w:rsidR="00872627" w:rsidRDefault="00872627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0.0 ± 0.2 / 0.8 ± 3.8</w:t>
            </w:r>
          </w:p>
        </w:tc>
        <w:tc>
          <w:tcPr>
            <w:tcW w:w="1260" w:type="dxa"/>
          </w:tcPr>
          <w:p w:rsidR="00872627" w:rsidRDefault="00872627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270" w:type="dxa"/>
          </w:tcPr>
          <w:p w:rsidR="00872627" w:rsidRPr="008C4899" w:rsidRDefault="00872627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3168" w:type="dxa"/>
          </w:tcPr>
          <w:p w:rsidR="00872627" w:rsidRDefault="00872627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Little change was seen in ADS for alcohol (remained around 5 days / mo during DB and OL phases)</w:t>
            </w:r>
          </w:p>
        </w:tc>
      </w:tr>
      <w:tr w:rsidR="00EA64B4" w:rsidRPr="008C4899" w:rsidTr="00FD470E">
        <w:tc>
          <w:tcPr>
            <w:tcW w:w="3078" w:type="dxa"/>
          </w:tcPr>
          <w:p w:rsidR="00872627" w:rsidRDefault="00872627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CGII Responders, </w:t>
            </w:r>
            <w:r w:rsidRPr="00872627">
              <w:rPr>
                <w:rFonts w:eastAsia="Times New Roman"/>
              </w:rPr>
              <w:t>OL BL / EOT</w:t>
            </w:r>
            <w:r>
              <w:rPr>
                <w:rFonts w:eastAsia="Times New Roman"/>
              </w:rPr>
              <w:t>,</w:t>
            </w:r>
            <w:r w:rsidRPr="0087262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%</w:t>
            </w:r>
          </w:p>
        </w:tc>
        <w:tc>
          <w:tcPr>
            <w:tcW w:w="1260" w:type="dxa"/>
          </w:tcPr>
          <w:p w:rsidR="00872627" w:rsidRDefault="00872627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91.0 / 97.0</w:t>
            </w:r>
          </w:p>
        </w:tc>
        <w:tc>
          <w:tcPr>
            <w:tcW w:w="1260" w:type="dxa"/>
          </w:tcPr>
          <w:p w:rsidR="00872627" w:rsidRDefault="00872627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— / 89.4</w:t>
            </w:r>
          </w:p>
        </w:tc>
        <w:tc>
          <w:tcPr>
            <w:tcW w:w="1260" w:type="dxa"/>
          </w:tcPr>
          <w:p w:rsidR="00872627" w:rsidRDefault="00872627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270" w:type="dxa"/>
          </w:tcPr>
          <w:p w:rsidR="00872627" w:rsidRPr="008C4899" w:rsidRDefault="00872627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3168" w:type="dxa"/>
          </w:tcPr>
          <w:p w:rsidR="00872627" w:rsidRDefault="00872627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EA64B4" w:rsidRPr="008C4899" w:rsidTr="00FD470E">
        <w:tc>
          <w:tcPr>
            <w:tcW w:w="3078" w:type="dxa"/>
          </w:tcPr>
          <w:p w:rsidR="00872627" w:rsidRDefault="00872627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EQ-5D</w:t>
            </w:r>
            <w:r w:rsidR="005944C8">
              <w:rPr>
                <w:rFonts w:eastAsia="Times New Roman"/>
              </w:rPr>
              <w:t xml:space="preserve">, </w:t>
            </w:r>
            <w:r w:rsidR="005944C8" w:rsidRPr="005944C8">
              <w:rPr>
                <w:rFonts w:eastAsia="Times New Roman"/>
              </w:rPr>
              <w:t xml:space="preserve">OL BL / EOT, </w:t>
            </w:r>
            <w:r>
              <w:rPr>
                <w:rFonts w:eastAsia="Times New Roman"/>
              </w:rPr>
              <w:t xml:space="preserve"> scores ± SD</w:t>
            </w:r>
          </w:p>
        </w:tc>
        <w:tc>
          <w:tcPr>
            <w:tcW w:w="1260" w:type="dxa"/>
          </w:tcPr>
          <w:p w:rsidR="00872627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81.6 ± 12.4 / 83.8 ± 12.7</w:t>
            </w:r>
          </w:p>
        </w:tc>
        <w:tc>
          <w:tcPr>
            <w:tcW w:w="1260" w:type="dxa"/>
          </w:tcPr>
          <w:p w:rsidR="00872627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77.9 ± 18.10 / 82.7 ± 15.1</w:t>
            </w:r>
          </w:p>
        </w:tc>
        <w:tc>
          <w:tcPr>
            <w:tcW w:w="1260" w:type="dxa"/>
          </w:tcPr>
          <w:p w:rsidR="00872627" w:rsidRDefault="00872627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270" w:type="dxa"/>
          </w:tcPr>
          <w:p w:rsidR="00872627" w:rsidRPr="008C4899" w:rsidRDefault="00872627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3168" w:type="dxa"/>
          </w:tcPr>
          <w:p w:rsidR="00872627" w:rsidRDefault="00872627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8105B6" w:rsidRPr="008C4899" w:rsidTr="001820FA">
        <w:tc>
          <w:tcPr>
            <w:tcW w:w="0" w:type="auto"/>
            <w:gridSpan w:val="6"/>
            <w:shd w:val="clear" w:color="auto" w:fill="D9D9D9"/>
          </w:tcPr>
          <w:p w:rsidR="008105B6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Safety</w:t>
            </w:r>
          </w:p>
        </w:tc>
      </w:tr>
      <w:tr w:rsidR="00EA64B4" w:rsidRPr="008C4899" w:rsidTr="00FD470E">
        <w:tc>
          <w:tcPr>
            <w:tcW w:w="3078" w:type="dxa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SAEs, % of pts</w:t>
            </w:r>
          </w:p>
        </w:tc>
        <w:tc>
          <w:tcPr>
            <w:tcW w:w="1260" w:type="dxa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1260" w:type="dxa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260" w:type="dxa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2.6</w:t>
            </w:r>
          </w:p>
        </w:tc>
        <w:tc>
          <w:tcPr>
            <w:tcW w:w="270" w:type="dxa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3168" w:type="dxa"/>
          </w:tcPr>
          <w:p w:rsidR="005944C8" w:rsidRPr="008C4899" w:rsidRDefault="00EA64B4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4 SAEs in 3 pts:  acute pancreatitis (possibly related), cardiomyopathy (probably not related), and hepatitis A + pulmonary TB</w:t>
            </w:r>
          </w:p>
        </w:tc>
      </w:tr>
      <w:tr w:rsidR="00EA64B4" w:rsidRPr="008C4899" w:rsidTr="00FD470E">
        <w:tc>
          <w:tcPr>
            <w:tcW w:w="3078" w:type="dxa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WDAEs, % of pts</w:t>
            </w:r>
          </w:p>
        </w:tc>
        <w:tc>
          <w:tcPr>
            <w:tcW w:w="1260" w:type="dxa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260" w:type="dxa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1260" w:type="dxa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0.88</w:t>
            </w:r>
          </w:p>
        </w:tc>
        <w:tc>
          <w:tcPr>
            <w:tcW w:w="270" w:type="dxa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3168" w:type="dxa"/>
          </w:tcPr>
          <w:p w:rsidR="005944C8" w:rsidRPr="008C4899" w:rsidRDefault="00EA64B4" w:rsidP="00FD470E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pt </w:t>
            </w:r>
            <w:r w:rsidR="00FD470E">
              <w:rPr>
                <w:rFonts w:eastAsia="Times New Roman"/>
              </w:rPr>
              <w:t>WD</w:t>
            </w:r>
            <w:r>
              <w:rPr>
                <w:rFonts w:eastAsia="Times New Roman"/>
              </w:rPr>
              <w:t xml:space="preserve"> b/o persistent increase in LFTs</w:t>
            </w:r>
          </w:p>
        </w:tc>
      </w:tr>
      <w:tr w:rsidR="00EA64B4" w:rsidRPr="008C4899" w:rsidTr="00FD470E">
        <w:tc>
          <w:tcPr>
            <w:tcW w:w="3078" w:type="dxa"/>
            <w:shd w:val="clear" w:color="auto" w:fill="auto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DRAEs, % of pts</w:t>
            </w:r>
          </w:p>
        </w:tc>
        <w:tc>
          <w:tcPr>
            <w:tcW w:w="1260" w:type="dxa"/>
            <w:shd w:val="clear" w:color="auto" w:fill="auto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20.9</w:t>
            </w:r>
          </w:p>
        </w:tc>
        <w:tc>
          <w:tcPr>
            <w:tcW w:w="1260" w:type="dxa"/>
            <w:shd w:val="clear" w:color="auto" w:fill="auto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21.3</w:t>
            </w:r>
          </w:p>
        </w:tc>
        <w:tc>
          <w:tcPr>
            <w:tcW w:w="1260" w:type="dxa"/>
            <w:shd w:val="clear" w:color="auto" w:fill="auto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21.1</w:t>
            </w:r>
          </w:p>
        </w:tc>
        <w:tc>
          <w:tcPr>
            <w:tcW w:w="270" w:type="dxa"/>
            <w:shd w:val="clear" w:color="auto" w:fill="auto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3168" w:type="dxa"/>
            <w:shd w:val="clear" w:color="auto" w:fill="auto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EA64B4" w:rsidRPr="008C4899" w:rsidTr="00FD470E">
        <w:tc>
          <w:tcPr>
            <w:tcW w:w="3078" w:type="dxa"/>
          </w:tcPr>
          <w:p w:rsidR="005944C8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≥1 AE, % of pts</w:t>
            </w:r>
          </w:p>
        </w:tc>
        <w:tc>
          <w:tcPr>
            <w:tcW w:w="1260" w:type="dxa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43.3</w:t>
            </w:r>
          </w:p>
        </w:tc>
        <w:tc>
          <w:tcPr>
            <w:tcW w:w="1260" w:type="dxa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40.4</w:t>
            </w:r>
          </w:p>
        </w:tc>
        <w:tc>
          <w:tcPr>
            <w:tcW w:w="1260" w:type="dxa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42.1</w:t>
            </w:r>
          </w:p>
        </w:tc>
        <w:tc>
          <w:tcPr>
            <w:tcW w:w="270" w:type="dxa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3168" w:type="dxa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5944C8" w:rsidRPr="008C4899" w:rsidTr="001820FA">
        <w:tc>
          <w:tcPr>
            <w:tcW w:w="0" w:type="auto"/>
            <w:gridSpan w:val="6"/>
            <w:shd w:val="clear" w:color="auto" w:fill="D9D9D9" w:themeFill="background1" w:themeFillShade="D9"/>
          </w:tcPr>
          <w:p w:rsidR="005944C8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Adverse Events Reported in ≥5% of Patients Overall</w:t>
            </w:r>
          </w:p>
        </w:tc>
      </w:tr>
      <w:tr w:rsidR="00EA64B4" w:rsidRPr="008C4899" w:rsidTr="00FD470E">
        <w:tc>
          <w:tcPr>
            <w:tcW w:w="3078" w:type="dxa"/>
          </w:tcPr>
          <w:p w:rsidR="00EA64B4" w:rsidRDefault="00EA64B4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Injection site reaction</w:t>
            </w:r>
          </w:p>
        </w:tc>
        <w:tc>
          <w:tcPr>
            <w:tcW w:w="1260" w:type="dxa"/>
          </w:tcPr>
          <w:p w:rsidR="00EA64B4" w:rsidRDefault="00EA64B4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6.1</w:t>
            </w:r>
          </w:p>
        </w:tc>
        <w:tc>
          <w:tcPr>
            <w:tcW w:w="1260" w:type="dxa"/>
          </w:tcPr>
          <w:p w:rsidR="00EA64B4" w:rsidRDefault="00EA64B4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1260" w:type="dxa"/>
          </w:tcPr>
          <w:p w:rsidR="00EA64B4" w:rsidRDefault="00EA64B4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270" w:type="dxa"/>
          </w:tcPr>
          <w:p w:rsidR="00EA64B4" w:rsidRPr="008C4899" w:rsidRDefault="00EA64B4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3168" w:type="dxa"/>
          </w:tcPr>
          <w:p w:rsidR="00EA64B4" w:rsidRPr="008C4899" w:rsidRDefault="00EA64B4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Majority were mild.</w:t>
            </w:r>
          </w:p>
        </w:tc>
      </w:tr>
      <w:tr w:rsidR="00EA64B4" w:rsidRPr="008C4899" w:rsidTr="00FD470E">
        <w:tc>
          <w:tcPr>
            <w:tcW w:w="3078" w:type="dxa"/>
          </w:tcPr>
          <w:p w:rsidR="00EA64B4" w:rsidRDefault="00EA64B4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Influenza</w:t>
            </w:r>
          </w:p>
        </w:tc>
        <w:tc>
          <w:tcPr>
            <w:tcW w:w="1260" w:type="dxa"/>
          </w:tcPr>
          <w:p w:rsidR="00EA64B4" w:rsidRPr="008C4899" w:rsidRDefault="00EA64B4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6.0</w:t>
            </w:r>
          </w:p>
        </w:tc>
        <w:tc>
          <w:tcPr>
            <w:tcW w:w="1260" w:type="dxa"/>
          </w:tcPr>
          <w:p w:rsidR="00EA64B4" w:rsidRPr="008C4899" w:rsidRDefault="00EA64B4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4.3</w:t>
            </w:r>
          </w:p>
        </w:tc>
        <w:tc>
          <w:tcPr>
            <w:tcW w:w="1260" w:type="dxa"/>
          </w:tcPr>
          <w:p w:rsidR="00EA64B4" w:rsidRPr="008C4899" w:rsidRDefault="00EA64B4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5.3</w:t>
            </w:r>
          </w:p>
        </w:tc>
        <w:tc>
          <w:tcPr>
            <w:tcW w:w="270" w:type="dxa"/>
          </w:tcPr>
          <w:p w:rsidR="00EA64B4" w:rsidRPr="008C4899" w:rsidRDefault="00EA64B4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3168" w:type="dxa"/>
          </w:tcPr>
          <w:p w:rsidR="00EA64B4" w:rsidRPr="008C4899" w:rsidRDefault="00EA64B4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EA64B4" w:rsidRPr="008C4899" w:rsidTr="00FD470E">
        <w:tc>
          <w:tcPr>
            <w:tcW w:w="3078" w:type="dxa"/>
            <w:shd w:val="clear" w:color="auto" w:fill="auto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Toothache</w:t>
            </w:r>
          </w:p>
        </w:tc>
        <w:tc>
          <w:tcPr>
            <w:tcW w:w="1260" w:type="dxa"/>
            <w:shd w:val="clear" w:color="auto" w:fill="auto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1260" w:type="dxa"/>
            <w:shd w:val="clear" w:color="auto" w:fill="auto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8.5</w:t>
            </w:r>
          </w:p>
        </w:tc>
        <w:tc>
          <w:tcPr>
            <w:tcW w:w="1260" w:type="dxa"/>
            <w:shd w:val="clear" w:color="auto" w:fill="auto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>6.1</w:t>
            </w:r>
          </w:p>
        </w:tc>
        <w:tc>
          <w:tcPr>
            <w:tcW w:w="270" w:type="dxa"/>
            <w:shd w:val="clear" w:color="auto" w:fill="auto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  <w:tc>
          <w:tcPr>
            <w:tcW w:w="3168" w:type="dxa"/>
            <w:shd w:val="clear" w:color="auto" w:fill="auto"/>
          </w:tcPr>
          <w:p w:rsidR="005944C8" w:rsidRPr="008C4899" w:rsidRDefault="005944C8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</w:p>
        </w:tc>
      </w:tr>
      <w:tr w:rsidR="00EA64B4" w:rsidRPr="008C4899" w:rsidTr="001820FA">
        <w:tc>
          <w:tcPr>
            <w:tcW w:w="0" w:type="auto"/>
            <w:gridSpan w:val="6"/>
            <w:shd w:val="clear" w:color="auto" w:fill="D9D9D9" w:themeFill="background1" w:themeFillShade="D9"/>
          </w:tcPr>
          <w:p w:rsidR="00EA64B4" w:rsidRDefault="00EA64B4" w:rsidP="001820FA">
            <w:pPr>
              <w:pStyle w:val="Table09"/>
              <w:spacing w:beforeLines="40" w:before="96" w:afterLines="40" w:after="9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Laboratory Abnormalities </w:t>
            </w:r>
          </w:p>
        </w:tc>
      </w:tr>
      <w:tr w:rsidR="00EA64B4" w:rsidRPr="008C4899" w:rsidTr="00925B30">
        <w:trPr>
          <w:trHeight w:val="765"/>
        </w:trPr>
        <w:tc>
          <w:tcPr>
            <w:tcW w:w="3078" w:type="dxa"/>
          </w:tcPr>
          <w:p w:rsidR="00EA64B4" w:rsidRDefault="00EA64B4" w:rsidP="00925B30">
            <w:pPr>
              <w:pStyle w:val="Table09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Total, % of pts</w:t>
            </w:r>
          </w:p>
        </w:tc>
        <w:tc>
          <w:tcPr>
            <w:tcW w:w="1260" w:type="dxa"/>
          </w:tcPr>
          <w:p w:rsidR="00EA64B4" w:rsidRDefault="00EA64B4" w:rsidP="00925B30">
            <w:pPr>
              <w:pStyle w:val="Table09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14.9</w:t>
            </w:r>
          </w:p>
        </w:tc>
        <w:tc>
          <w:tcPr>
            <w:tcW w:w="1260" w:type="dxa"/>
          </w:tcPr>
          <w:p w:rsidR="00EA64B4" w:rsidRDefault="00EA64B4" w:rsidP="00925B30">
            <w:pPr>
              <w:pStyle w:val="Table09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22.4</w:t>
            </w:r>
          </w:p>
        </w:tc>
        <w:tc>
          <w:tcPr>
            <w:tcW w:w="1260" w:type="dxa"/>
          </w:tcPr>
          <w:p w:rsidR="00EA64B4" w:rsidRDefault="00EA64B4" w:rsidP="00925B30">
            <w:pPr>
              <w:pStyle w:val="Table09"/>
              <w:spacing w:before="0" w:after="0"/>
              <w:rPr>
                <w:rFonts w:eastAsia="Times New Roman"/>
              </w:rPr>
            </w:pPr>
          </w:p>
        </w:tc>
        <w:tc>
          <w:tcPr>
            <w:tcW w:w="270" w:type="dxa"/>
          </w:tcPr>
          <w:p w:rsidR="00EA64B4" w:rsidRPr="008C4899" w:rsidRDefault="00EA64B4" w:rsidP="00925B30">
            <w:pPr>
              <w:pStyle w:val="Table09"/>
              <w:spacing w:before="0" w:after="0"/>
              <w:rPr>
                <w:rFonts w:eastAsia="Times New Roman"/>
              </w:rPr>
            </w:pPr>
          </w:p>
        </w:tc>
        <w:tc>
          <w:tcPr>
            <w:tcW w:w="3168" w:type="dxa"/>
          </w:tcPr>
          <w:p w:rsidR="00EA64B4" w:rsidRPr="008C4899" w:rsidRDefault="00EA64B4" w:rsidP="00925B30">
            <w:pPr>
              <w:pStyle w:val="Table09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were considered to be Related to </w:t>
            </w:r>
            <w:r w:rsidR="006248C3">
              <w:rPr>
                <w:rFonts w:eastAsia="Times New Roman"/>
              </w:rPr>
              <w:t>ER-NTX</w:t>
            </w:r>
            <w:r>
              <w:rPr>
                <w:rFonts w:eastAsia="Times New Roman"/>
              </w:rPr>
              <w:t>. None were considered clinically meaningful.</w:t>
            </w:r>
          </w:p>
        </w:tc>
      </w:tr>
      <w:tr w:rsidR="00EA64B4" w:rsidRPr="008C4899" w:rsidTr="00925B30">
        <w:trPr>
          <w:trHeight w:val="225"/>
        </w:trPr>
        <w:tc>
          <w:tcPr>
            <w:tcW w:w="3078" w:type="dxa"/>
            <w:tcBorders>
              <w:bottom w:val="single" w:sz="4" w:space="0" w:color="auto"/>
            </w:tcBorders>
          </w:tcPr>
          <w:p w:rsidR="00EA64B4" w:rsidRDefault="00EA64B4" w:rsidP="00925B30">
            <w:pPr>
              <w:pStyle w:val="Table09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Increased LETs, % of pts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A64B4" w:rsidRPr="008C4899" w:rsidRDefault="00EA64B4" w:rsidP="00925B30">
            <w:pPr>
              <w:pStyle w:val="Table09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19.4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A64B4" w:rsidRPr="008C4899" w:rsidRDefault="00EA64B4" w:rsidP="00925B30">
            <w:pPr>
              <w:pStyle w:val="Table09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12.8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A64B4" w:rsidRPr="008C4899" w:rsidRDefault="00EA64B4" w:rsidP="00925B30">
            <w:pPr>
              <w:pStyle w:val="Table09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16.7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EA64B4" w:rsidRPr="008C4899" w:rsidRDefault="00EA64B4" w:rsidP="00925B30">
            <w:pPr>
              <w:pStyle w:val="Table09"/>
              <w:spacing w:before="0" w:after="0"/>
              <w:rPr>
                <w:rFonts w:eastAsia="Times New Roman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EA64B4" w:rsidRPr="008C4899" w:rsidRDefault="00EA64B4" w:rsidP="00925B30">
            <w:pPr>
              <w:pStyle w:val="Table09"/>
              <w:spacing w:before="0" w:after="0"/>
              <w:rPr>
                <w:rFonts w:eastAsia="Times New Roman"/>
              </w:rPr>
            </w:pPr>
          </w:p>
        </w:tc>
      </w:tr>
    </w:tbl>
    <w:p w:rsidR="008105B6" w:rsidRDefault="008105B6"/>
    <w:sectPr w:rsidR="008105B6" w:rsidSect="00925B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5D" w:rsidRDefault="00382D5D" w:rsidP="00E3639F">
      <w:pPr>
        <w:spacing w:before="0" w:after="0"/>
      </w:pPr>
      <w:r>
        <w:separator/>
      </w:r>
    </w:p>
  </w:endnote>
  <w:endnote w:type="continuationSeparator" w:id="0">
    <w:p w:rsidR="00382D5D" w:rsidRDefault="00382D5D" w:rsidP="00E363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alaLancetPr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E8" w:rsidRDefault="004634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</w:tblBorders>
      <w:tblLook w:val="0000" w:firstRow="0" w:lastRow="0" w:firstColumn="0" w:lastColumn="0" w:noHBand="0" w:noVBand="0"/>
    </w:tblPr>
    <w:tblGrid>
      <w:gridCol w:w="6678"/>
      <w:gridCol w:w="2208"/>
      <w:gridCol w:w="978"/>
    </w:tblGrid>
    <w:tr w:rsidR="004634E8" w:rsidRPr="004634E8" w:rsidTr="00F549ED">
      <w:tc>
        <w:tcPr>
          <w:tcW w:w="6678" w:type="dxa"/>
        </w:tcPr>
        <w:p w:rsidR="004634E8" w:rsidRPr="004634E8" w:rsidRDefault="004634E8" w:rsidP="00F549ED">
          <w:pPr>
            <w:pStyle w:val="Footer"/>
            <w:spacing w:before="120"/>
            <w:ind w:right="-43"/>
            <w:rPr>
              <w:rFonts w:ascii="Arial" w:hAnsi="Arial" w:cs="Arial"/>
              <w:iCs/>
              <w:sz w:val="18"/>
              <w:szCs w:val="18"/>
              <w:lang w:val="de-DE"/>
            </w:rPr>
          </w:pPr>
          <w:r w:rsidRPr="004634E8">
            <w:rPr>
              <w:rFonts w:ascii="Arial Narrow" w:hAnsi="Arial Narrow" w:cs="Arial"/>
              <w:sz w:val="18"/>
              <w:szCs w:val="18"/>
            </w:rPr>
            <w:t xml:space="preserve">Updated versions may be found at </w:t>
          </w:r>
          <w:hyperlink r:id="rId1" w:history="1">
            <w:r w:rsidRPr="004634E8">
              <w:rPr>
                <w:rStyle w:val="Hyperlink"/>
                <w:rFonts w:ascii="Arial Narrow" w:hAnsi="Arial Narrow" w:cs="Arial"/>
                <w:sz w:val="18"/>
                <w:szCs w:val="18"/>
              </w:rPr>
              <w:t>http://www.pbm.va.gov</w:t>
            </w:r>
          </w:hyperlink>
          <w:r w:rsidRPr="004634E8">
            <w:rPr>
              <w:rFonts w:ascii="Arial Narrow" w:hAnsi="Arial Narrow" w:cs="Arial"/>
              <w:sz w:val="18"/>
              <w:szCs w:val="18"/>
            </w:rPr>
            <w:t xml:space="preserve"> or </w:t>
          </w:r>
          <w:hyperlink r:id="rId2" w:history="1">
            <w:r w:rsidRPr="004634E8">
              <w:rPr>
                <w:rStyle w:val="Hyperlink"/>
                <w:rFonts w:ascii="Arial Narrow" w:hAnsi="Arial Narrow" w:cs="Arial"/>
                <w:sz w:val="18"/>
                <w:szCs w:val="18"/>
              </w:rPr>
              <w:t>http://vaww.pbm.va.gov</w:t>
            </w:r>
          </w:hyperlink>
          <w:r w:rsidRPr="004634E8">
            <w:rPr>
              <w:rFonts w:ascii="Arial Narrow" w:hAnsi="Arial Narrow" w:cs="Arial"/>
              <w:sz w:val="18"/>
              <w:szCs w:val="18"/>
            </w:rPr>
            <w:t xml:space="preserve">  </w:t>
          </w:r>
        </w:p>
      </w:tc>
      <w:tc>
        <w:tcPr>
          <w:tcW w:w="2208" w:type="dxa"/>
        </w:tcPr>
        <w:p w:rsidR="004634E8" w:rsidRPr="004634E8" w:rsidRDefault="004634E8" w:rsidP="00F549ED">
          <w:pPr>
            <w:pStyle w:val="Footer"/>
            <w:spacing w:before="120"/>
            <w:jc w:val="center"/>
            <w:rPr>
              <w:rStyle w:val="PageNumber"/>
              <w:rFonts w:cs="Arial"/>
              <w:sz w:val="18"/>
              <w:szCs w:val="18"/>
            </w:rPr>
          </w:pPr>
        </w:p>
      </w:tc>
      <w:tc>
        <w:tcPr>
          <w:tcW w:w="978" w:type="dxa"/>
        </w:tcPr>
        <w:p w:rsidR="004634E8" w:rsidRPr="004634E8" w:rsidRDefault="004634E8" w:rsidP="00F549ED">
          <w:pPr>
            <w:pStyle w:val="Footer"/>
            <w:spacing w:before="120"/>
            <w:jc w:val="right"/>
            <w:rPr>
              <w:rFonts w:ascii="Arial Narrow" w:hAnsi="Arial Narrow" w:cs="Arial"/>
              <w:sz w:val="18"/>
              <w:szCs w:val="18"/>
            </w:rPr>
          </w:pPr>
          <w:r w:rsidRPr="004634E8">
            <w:rPr>
              <w:rStyle w:val="PageNumber"/>
              <w:rFonts w:ascii="Arial Narrow" w:hAnsi="Arial Narrow" w:cs="Arial"/>
              <w:sz w:val="18"/>
              <w:szCs w:val="18"/>
            </w:rPr>
            <w:fldChar w:fldCharType="begin"/>
          </w:r>
          <w:r w:rsidRPr="004634E8">
            <w:rPr>
              <w:rStyle w:val="PageNumber"/>
              <w:rFonts w:ascii="Arial Narrow" w:hAnsi="Arial Narrow" w:cs="Arial"/>
              <w:sz w:val="18"/>
              <w:szCs w:val="18"/>
            </w:rPr>
            <w:instrText xml:space="preserve"> PAGE </w:instrText>
          </w:r>
          <w:r w:rsidRPr="004634E8">
            <w:rPr>
              <w:rStyle w:val="PageNumber"/>
              <w:rFonts w:ascii="Arial Narrow" w:hAnsi="Arial Narrow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 Narrow" w:hAnsi="Arial Narrow" w:cs="Arial"/>
              <w:noProof/>
              <w:sz w:val="18"/>
              <w:szCs w:val="18"/>
            </w:rPr>
            <w:t>2</w:t>
          </w:r>
          <w:r w:rsidRPr="004634E8">
            <w:rPr>
              <w:rStyle w:val="PageNumber"/>
              <w:rFonts w:ascii="Arial Narrow" w:hAnsi="Arial Narrow" w:cs="Arial"/>
              <w:sz w:val="18"/>
              <w:szCs w:val="18"/>
            </w:rPr>
            <w:fldChar w:fldCharType="end"/>
          </w:r>
        </w:p>
      </w:tc>
    </w:tr>
  </w:tbl>
  <w:p w:rsidR="00925B30" w:rsidRPr="00E3639F" w:rsidRDefault="00925B30" w:rsidP="004634E8">
    <w:pPr>
      <w:pStyle w:val="Footer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</w:tblBorders>
      <w:tblLook w:val="0000" w:firstRow="0" w:lastRow="0" w:firstColumn="0" w:lastColumn="0" w:noHBand="0" w:noVBand="0"/>
    </w:tblPr>
    <w:tblGrid>
      <w:gridCol w:w="6678"/>
      <w:gridCol w:w="2208"/>
      <w:gridCol w:w="978"/>
    </w:tblGrid>
    <w:tr w:rsidR="004634E8" w:rsidRPr="004634E8" w:rsidTr="004634E8">
      <w:tc>
        <w:tcPr>
          <w:tcW w:w="6678" w:type="dxa"/>
        </w:tcPr>
        <w:p w:rsidR="004634E8" w:rsidRPr="004634E8" w:rsidRDefault="004634E8" w:rsidP="00F549ED">
          <w:pPr>
            <w:pStyle w:val="Footer"/>
            <w:spacing w:before="120"/>
            <w:ind w:right="-43"/>
            <w:rPr>
              <w:rFonts w:ascii="Arial" w:hAnsi="Arial" w:cs="Arial"/>
              <w:iCs/>
              <w:sz w:val="18"/>
              <w:szCs w:val="18"/>
              <w:lang w:val="de-DE"/>
            </w:rPr>
          </w:pPr>
          <w:r w:rsidRPr="004634E8">
            <w:rPr>
              <w:rFonts w:ascii="Arial Narrow" w:hAnsi="Arial Narrow" w:cs="Arial"/>
              <w:sz w:val="18"/>
              <w:szCs w:val="18"/>
            </w:rPr>
            <w:t xml:space="preserve">Updated versions may be found at </w:t>
          </w:r>
          <w:hyperlink r:id="rId1" w:history="1">
            <w:r w:rsidRPr="004634E8">
              <w:rPr>
                <w:rStyle w:val="Hyperlink"/>
                <w:rFonts w:ascii="Arial Narrow" w:hAnsi="Arial Narrow" w:cs="Arial"/>
                <w:sz w:val="18"/>
                <w:szCs w:val="18"/>
              </w:rPr>
              <w:t>http://www.pbm.va.gov</w:t>
            </w:r>
          </w:hyperlink>
          <w:r w:rsidRPr="004634E8">
            <w:rPr>
              <w:rFonts w:ascii="Arial Narrow" w:hAnsi="Arial Narrow" w:cs="Arial"/>
              <w:sz w:val="18"/>
              <w:szCs w:val="18"/>
            </w:rPr>
            <w:t xml:space="preserve"> or </w:t>
          </w:r>
          <w:hyperlink r:id="rId2" w:history="1">
            <w:r w:rsidRPr="004634E8">
              <w:rPr>
                <w:rStyle w:val="Hyperlink"/>
                <w:rFonts w:ascii="Arial Narrow" w:hAnsi="Arial Narrow" w:cs="Arial"/>
                <w:sz w:val="18"/>
                <w:szCs w:val="18"/>
              </w:rPr>
              <w:t>http://vaww.pbm.va.gov</w:t>
            </w:r>
          </w:hyperlink>
          <w:r w:rsidRPr="004634E8">
            <w:rPr>
              <w:rFonts w:ascii="Arial Narrow" w:hAnsi="Arial Narrow" w:cs="Arial"/>
              <w:sz w:val="18"/>
              <w:szCs w:val="18"/>
            </w:rPr>
            <w:t xml:space="preserve">  </w:t>
          </w:r>
        </w:p>
      </w:tc>
      <w:tc>
        <w:tcPr>
          <w:tcW w:w="2208" w:type="dxa"/>
        </w:tcPr>
        <w:p w:rsidR="004634E8" w:rsidRPr="004634E8" w:rsidRDefault="004634E8" w:rsidP="004634E8">
          <w:pPr>
            <w:pStyle w:val="Footer"/>
            <w:spacing w:before="120"/>
            <w:jc w:val="center"/>
            <w:rPr>
              <w:rStyle w:val="PageNumber"/>
              <w:rFonts w:cs="Arial"/>
              <w:sz w:val="18"/>
              <w:szCs w:val="18"/>
            </w:rPr>
          </w:pPr>
        </w:p>
      </w:tc>
      <w:tc>
        <w:tcPr>
          <w:tcW w:w="978" w:type="dxa"/>
        </w:tcPr>
        <w:p w:rsidR="004634E8" w:rsidRPr="004634E8" w:rsidRDefault="004634E8" w:rsidP="004634E8">
          <w:pPr>
            <w:pStyle w:val="Footer"/>
            <w:spacing w:before="120"/>
            <w:jc w:val="right"/>
            <w:rPr>
              <w:rFonts w:ascii="Arial Narrow" w:hAnsi="Arial Narrow" w:cs="Arial"/>
              <w:sz w:val="18"/>
              <w:szCs w:val="18"/>
            </w:rPr>
          </w:pPr>
          <w:r w:rsidRPr="004634E8">
            <w:rPr>
              <w:rStyle w:val="PageNumber"/>
              <w:rFonts w:ascii="Arial Narrow" w:hAnsi="Arial Narrow" w:cs="Arial"/>
              <w:sz w:val="18"/>
              <w:szCs w:val="18"/>
            </w:rPr>
            <w:fldChar w:fldCharType="begin"/>
          </w:r>
          <w:r w:rsidRPr="004634E8">
            <w:rPr>
              <w:rStyle w:val="PageNumber"/>
              <w:rFonts w:ascii="Arial Narrow" w:hAnsi="Arial Narrow" w:cs="Arial"/>
              <w:sz w:val="18"/>
              <w:szCs w:val="18"/>
            </w:rPr>
            <w:instrText xml:space="preserve"> PAGE </w:instrText>
          </w:r>
          <w:r w:rsidRPr="004634E8">
            <w:rPr>
              <w:rStyle w:val="PageNumber"/>
              <w:rFonts w:ascii="Arial Narrow" w:hAnsi="Arial Narrow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 Narrow" w:hAnsi="Arial Narrow" w:cs="Arial"/>
              <w:noProof/>
              <w:sz w:val="18"/>
              <w:szCs w:val="18"/>
            </w:rPr>
            <w:t>1</w:t>
          </w:r>
          <w:r w:rsidRPr="004634E8">
            <w:rPr>
              <w:rStyle w:val="PageNumber"/>
              <w:rFonts w:ascii="Arial Narrow" w:hAnsi="Arial Narrow" w:cs="Arial"/>
              <w:sz w:val="18"/>
              <w:szCs w:val="18"/>
            </w:rPr>
            <w:fldChar w:fldCharType="end"/>
          </w:r>
        </w:p>
      </w:tc>
    </w:tr>
  </w:tbl>
  <w:p w:rsidR="004634E8" w:rsidRDefault="004634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5D" w:rsidRDefault="00382D5D" w:rsidP="00E3639F">
      <w:pPr>
        <w:spacing w:before="0" w:after="0"/>
      </w:pPr>
      <w:r>
        <w:separator/>
      </w:r>
    </w:p>
  </w:footnote>
  <w:footnote w:type="continuationSeparator" w:id="0">
    <w:p w:rsidR="00382D5D" w:rsidRDefault="00382D5D" w:rsidP="00E3639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E8" w:rsidRDefault="004634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8"/>
      <w:gridCol w:w="4500"/>
    </w:tblGrid>
    <w:tr w:rsidR="00382D5D" w:rsidTr="00925B30">
      <w:tc>
        <w:tcPr>
          <w:tcW w:w="5688" w:type="dxa"/>
        </w:tcPr>
        <w:p w:rsidR="00382D5D" w:rsidRDefault="00382D5D">
          <w:pPr>
            <w:pStyle w:val="Header"/>
            <w:rPr>
              <w:rFonts w:ascii="Arial Narrow" w:hAnsi="Arial Narrow"/>
            </w:rPr>
          </w:pPr>
        </w:p>
      </w:tc>
      <w:tc>
        <w:tcPr>
          <w:tcW w:w="4500" w:type="dxa"/>
        </w:tcPr>
        <w:p w:rsidR="00382D5D" w:rsidRPr="00925B30" w:rsidRDefault="00925B30" w:rsidP="00E3639F">
          <w:pPr>
            <w:pStyle w:val="Header"/>
            <w:jc w:val="right"/>
            <w:rPr>
              <w:rFonts w:ascii="Arial Narrow" w:hAnsi="Arial Narrow"/>
            </w:rPr>
          </w:pPr>
          <w:r w:rsidRPr="004634E8">
            <w:rPr>
              <w:rFonts w:ascii="Arial Narrow" w:hAnsi="Arial Narrow"/>
              <w:sz w:val="20"/>
            </w:rPr>
            <w:t>Naltrexone ER Injection Monograph Addendum</w:t>
          </w:r>
        </w:p>
      </w:tc>
    </w:tr>
  </w:tbl>
  <w:p w:rsidR="00382D5D" w:rsidRPr="00E3639F" w:rsidRDefault="00382D5D" w:rsidP="004634E8">
    <w:pPr>
      <w:pStyle w:val="Header"/>
      <w:rPr>
        <w:rFonts w:ascii="Arial Narrow" w:hAnsi="Arial Narrow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E8" w:rsidRDefault="004634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50CA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98826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E0E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6C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9320B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4A5E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BA97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34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52F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3EE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F7D5D"/>
    <w:multiLevelType w:val="hybridMultilevel"/>
    <w:tmpl w:val="36FA6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03F3C"/>
    <w:multiLevelType w:val="hybridMultilevel"/>
    <w:tmpl w:val="37344AAA"/>
    <w:lvl w:ilvl="0" w:tplc="C52E1518">
      <w:start w:val="1"/>
      <w:numFmt w:val="decimal"/>
      <w:pStyle w:val="Reference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17BCD"/>
    <w:multiLevelType w:val="hybridMultilevel"/>
    <w:tmpl w:val="548A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964FB"/>
    <w:multiLevelType w:val="hybridMultilevel"/>
    <w:tmpl w:val="9A568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7E"/>
    <w:rsid w:val="00001E4E"/>
    <w:rsid w:val="00006954"/>
    <w:rsid w:val="000079CB"/>
    <w:rsid w:val="00024DF7"/>
    <w:rsid w:val="0003689D"/>
    <w:rsid w:val="000438EB"/>
    <w:rsid w:val="00070F7E"/>
    <w:rsid w:val="000A58EF"/>
    <w:rsid w:val="000C0E27"/>
    <w:rsid w:val="000C19D2"/>
    <w:rsid w:val="000D4F7D"/>
    <w:rsid w:val="000E4856"/>
    <w:rsid w:val="000F4CFA"/>
    <w:rsid w:val="00102057"/>
    <w:rsid w:val="001231A7"/>
    <w:rsid w:val="00127D67"/>
    <w:rsid w:val="00132125"/>
    <w:rsid w:val="00151DE5"/>
    <w:rsid w:val="00155792"/>
    <w:rsid w:val="00163922"/>
    <w:rsid w:val="00166AF2"/>
    <w:rsid w:val="00172194"/>
    <w:rsid w:val="001771FC"/>
    <w:rsid w:val="001820FA"/>
    <w:rsid w:val="001C1EBF"/>
    <w:rsid w:val="001C55CD"/>
    <w:rsid w:val="001C6DA2"/>
    <w:rsid w:val="001D515A"/>
    <w:rsid w:val="001E2D46"/>
    <w:rsid w:val="001E5FAB"/>
    <w:rsid w:val="001F7543"/>
    <w:rsid w:val="00206644"/>
    <w:rsid w:val="00222655"/>
    <w:rsid w:val="002303BE"/>
    <w:rsid w:val="00237A0C"/>
    <w:rsid w:val="00240D68"/>
    <w:rsid w:val="00247EEE"/>
    <w:rsid w:val="0029751F"/>
    <w:rsid w:val="002B752B"/>
    <w:rsid w:val="002C4EA6"/>
    <w:rsid w:val="002D70C0"/>
    <w:rsid w:val="002E5202"/>
    <w:rsid w:val="00322714"/>
    <w:rsid w:val="0034037C"/>
    <w:rsid w:val="00354D28"/>
    <w:rsid w:val="003828F5"/>
    <w:rsid w:val="00382D5D"/>
    <w:rsid w:val="00382D70"/>
    <w:rsid w:val="003848BF"/>
    <w:rsid w:val="003972EB"/>
    <w:rsid w:val="003B7D15"/>
    <w:rsid w:val="003C4100"/>
    <w:rsid w:val="003C70C4"/>
    <w:rsid w:val="003D2E15"/>
    <w:rsid w:val="003F2C24"/>
    <w:rsid w:val="004007ED"/>
    <w:rsid w:val="00412B96"/>
    <w:rsid w:val="004466DA"/>
    <w:rsid w:val="004634E8"/>
    <w:rsid w:val="0047282A"/>
    <w:rsid w:val="0048129C"/>
    <w:rsid w:val="0048754D"/>
    <w:rsid w:val="00492A84"/>
    <w:rsid w:val="004935C7"/>
    <w:rsid w:val="004A035E"/>
    <w:rsid w:val="004A188F"/>
    <w:rsid w:val="004A5FBA"/>
    <w:rsid w:val="004D493A"/>
    <w:rsid w:val="004E591A"/>
    <w:rsid w:val="0050195A"/>
    <w:rsid w:val="0051610C"/>
    <w:rsid w:val="0051673B"/>
    <w:rsid w:val="00520799"/>
    <w:rsid w:val="005270E8"/>
    <w:rsid w:val="00542A9B"/>
    <w:rsid w:val="005625DC"/>
    <w:rsid w:val="0056588A"/>
    <w:rsid w:val="00566B8B"/>
    <w:rsid w:val="00573AFC"/>
    <w:rsid w:val="005944C8"/>
    <w:rsid w:val="00596EBC"/>
    <w:rsid w:val="00597172"/>
    <w:rsid w:val="005B2C33"/>
    <w:rsid w:val="005C243D"/>
    <w:rsid w:val="005C5C60"/>
    <w:rsid w:val="00601E2A"/>
    <w:rsid w:val="0060781E"/>
    <w:rsid w:val="006248C3"/>
    <w:rsid w:val="00635B90"/>
    <w:rsid w:val="00646D9C"/>
    <w:rsid w:val="00663ADE"/>
    <w:rsid w:val="00667108"/>
    <w:rsid w:val="006D5E53"/>
    <w:rsid w:val="006E0A19"/>
    <w:rsid w:val="006F07BD"/>
    <w:rsid w:val="00703584"/>
    <w:rsid w:val="00713C7D"/>
    <w:rsid w:val="0071454D"/>
    <w:rsid w:val="00717D26"/>
    <w:rsid w:val="007664A9"/>
    <w:rsid w:val="00777FA5"/>
    <w:rsid w:val="007951A0"/>
    <w:rsid w:val="00796303"/>
    <w:rsid w:val="007C4DC9"/>
    <w:rsid w:val="007D6372"/>
    <w:rsid w:val="007F23C9"/>
    <w:rsid w:val="008105B6"/>
    <w:rsid w:val="008133E3"/>
    <w:rsid w:val="00815D4F"/>
    <w:rsid w:val="00816BB1"/>
    <w:rsid w:val="00821FC2"/>
    <w:rsid w:val="008369C8"/>
    <w:rsid w:val="008422E2"/>
    <w:rsid w:val="00853431"/>
    <w:rsid w:val="00860B8B"/>
    <w:rsid w:val="00862853"/>
    <w:rsid w:val="008724C4"/>
    <w:rsid w:val="00872627"/>
    <w:rsid w:val="00875B7E"/>
    <w:rsid w:val="008841A2"/>
    <w:rsid w:val="0089180E"/>
    <w:rsid w:val="008E1FED"/>
    <w:rsid w:val="00925B30"/>
    <w:rsid w:val="00930B12"/>
    <w:rsid w:val="00941187"/>
    <w:rsid w:val="009439A5"/>
    <w:rsid w:val="00971728"/>
    <w:rsid w:val="009766AF"/>
    <w:rsid w:val="0099605C"/>
    <w:rsid w:val="009A013C"/>
    <w:rsid w:val="009A5FB4"/>
    <w:rsid w:val="009B06C4"/>
    <w:rsid w:val="009C016B"/>
    <w:rsid w:val="009C3C40"/>
    <w:rsid w:val="009E5848"/>
    <w:rsid w:val="009F0925"/>
    <w:rsid w:val="00A21546"/>
    <w:rsid w:val="00A467A1"/>
    <w:rsid w:val="00A5618B"/>
    <w:rsid w:val="00A66C55"/>
    <w:rsid w:val="00A67C8A"/>
    <w:rsid w:val="00A7351D"/>
    <w:rsid w:val="00A96907"/>
    <w:rsid w:val="00A977FA"/>
    <w:rsid w:val="00AA1D06"/>
    <w:rsid w:val="00AC021D"/>
    <w:rsid w:val="00AC0B89"/>
    <w:rsid w:val="00AC2133"/>
    <w:rsid w:val="00AD3A1A"/>
    <w:rsid w:val="00AF6FBC"/>
    <w:rsid w:val="00B0172E"/>
    <w:rsid w:val="00B0627A"/>
    <w:rsid w:val="00B23EEC"/>
    <w:rsid w:val="00B24C75"/>
    <w:rsid w:val="00B41944"/>
    <w:rsid w:val="00B45AC7"/>
    <w:rsid w:val="00B508E3"/>
    <w:rsid w:val="00B52BC5"/>
    <w:rsid w:val="00B609AF"/>
    <w:rsid w:val="00B63E2C"/>
    <w:rsid w:val="00B70A66"/>
    <w:rsid w:val="00B8225D"/>
    <w:rsid w:val="00B94BCD"/>
    <w:rsid w:val="00BA7F59"/>
    <w:rsid w:val="00BB3431"/>
    <w:rsid w:val="00BC6516"/>
    <w:rsid w:val="00BD4F38"/>
    <w:rsid w:val="00BD67FA"/>
    <w:rsid w:val="00C02A5C"/>
    <w:rsid w:val="00C10295"/>
    <w:rsid w:val="00C21BC8"/>
    <w:rsid w:val="00C24B61"/>
    <w:rsid w:val="00CA36A1"/>
    <w:rsid w:val="00CC7D52"/>
    <w:rsid w:val="00CE716E"/>
    <w:rsid w:val="00CF27D9"/>
    <w:rsid w:val="00D359F3"/>
    <w:rsid w:val="00D54E67"/>
    <w:rsid w:val="00D66357"/>
    <w:rsid w:val="00D673DD"/>
    <w:rsid w:val="00D70926"/>
    <w:rsid w:val="00DA0F09"/>
    <w:rsid w:val="00DA77CD"/>
    <w:rsid w:val="00DB42FE"/>
    <w:rsid w:val="00DE1DE5"/>
    <w:rsid w:val="00DE3317"/>
    <w:rsid w:val="00DF7A42"/>
    <w:rsid w:val="00E2605C"/>
    <w:rsid w:val="00E26D1D"/>
    <w:rsid w:val="00E35458"/>
    <w:rsid w:val="00E3639F"/>
    <w:rsid w:val="00E440E2"/>
    <w:rsid w:val="00E4528E"/>
    <w:rsid w:val="00E83A43"/>
    <w:rsid w:val="00EA64B4"/>
    <w:rsid w:val="00EA7F59"/>
    <w:rsid w:val="00EB06F5"/>
    <w:rsid w:val="00EB613D"/>
    <w:rsid w:val="00EE1935"/>
    <w:rsid w:val="00EE4A84"/>
    <w:rsid w:val="00EF1557"/>
    <w:rsid w:val="00F253AF"/>
    <w:rsid w:val="00F25B05"/>
    <w:rsid w:val="00F55329"/>
    <w:rsid w:val="00F56631"/>
    <w:rsid w:val="00F841F3"/>
    <w:rsid w:val="00F85A89"/>
    <w:rsid w:val="00F87551"/>
    <w:rsid w:val="00F96ACF"/>
    <w:rsid w:val="00FA1D0E"/>
    <w:rsid w:val="00FB6ABA"/>
    <w:rsid w:val="00FC6FF1"/>
    <w:rsid w:val="00FD341E"/>
    <w:rsid w:val="00FD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reference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Columns 4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4C8"/>
    <w:pPr>
      <w:spacing w:before="120" w:after="120"/>
    </w:pPr>
    <w:rPr>
      <w:rFonts w:eastAsia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821F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genda">
    <w:name w:val="NormalAgenda"/>
    <w:basedOn w:val="Normal"/>
    <w:link w:val="NormalAgendaChar"/>
    <w:qFormat/>
    <w:rsid w:val="002C4EA6"/>
    <w:pPr>
      <w:ind w:left="1440"/>
    </w:pPr>
    <w:rPr>
      <w:rFonts w:eastAsia="Times New Roman"/>
      <w:szCs w:val="24"/>
    </w:rPr>
  </w:style>
  <w:style w:type="character" w:customStyle="1" w:styleId="NormalAgendaChar">
    <w:name w:val="NormalAgenda Char"/>
    <w:basedOn w:val="DefaultParagraphFont"/>
    <w:link w:val="NormalAgenda"/>
    <w:rsid w:val="002C4EA6"/>
    <w:rPr>
      <w:rFonts w:ascii="Times New Roman" w:eastAsia="Times New Roman" w:hAnsi="Times New Roman" w:cs="Times New Roman"/>
      <w:sz w:val="20"/>
      <w:szCs w:val="24"/>
    </w:rPr>
  </w:style>
  <w:style w:type="paragraph" w:customStyle="1" w:styleId="TableFootnote">
    <w:name w:val="TableFootnote"/>
    <w:basedOn w:val="NormalWeb"/>
    <w:qFormat/>
    <w:rsid w:val="00151DE5"/>
    <w:pPr>
      <w:ind w:left="806" w:right="3787" w:hanging="86"/>
    </w:pPr>
    <w:rPr>
      <w:rFonts w:ascii="Arial" w:eastAsia="Times New Roman" w:hAnsi="Arial" w:cs="Arial"/>
      <w:sz w:val="16"/>
      <w:szCs w:val="16"/>
      <w:vertAlign w:val="superscript"/>
    </w:rPr>
  </w:style>
  <w:style w:type="paragraph" w:styleId="NormalWeb">
    <w:name w:val="Normal (Web)"/>
    <w:basedOn w:val="Normal"/>
    <w:unhideWhenUsed/>
    <w:rsid w:val="00151DE5"/>
    <w:rPr>
      <w:rFonts w:eastAsiaTheme="minorHAnsi"/>
      <w:sz w:val="24"/>
      <w:szCs w:val="24"/>
    </w:rPr>
  </w:style>
  <w:style w:type="paragraph" w:customStyle="1" w:styleId="TableFootnote1">
    <w:name w:val="TableFootnote1"/>
    <w:basedOn w:val="TableFootnote"/>
    <w:link w:val="TableFootnote1Char"/>
    <w:qFormat/>
    <w:rsid w:val="00151DE5"/>
    <w:pPr>
      <w:ind w:left="900" w:hanging="180"/>
    </w:pPr>
    <w:rPr>
      <w:vertAlign w:val="baseline"/>
    </w:rPr>
  </w:style>
  <w:style w:type="character" w:customStyle="1" w:styleId="TableFootnote1Char">
    <w:name w:val="TableFootnote1 Char"/>
    <w:basedOn w:val="DefaultParagraphFont"/>
    <w:link w:val="TableFootnote1"/>
    <w:rsid w:val="00151DE5"/>
    <w:rPr>
      <w:rFonts w:ascii="Arial" w:eastAsia="Times New Roman" w:hAnsi="Arial" w:cs="Arial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1610C"/>
    <w:pPr>
      <w:keepNext/>
      <w:tabs>
        <w:tab w:val="left" w:pos="900"/>
      </w:tabs>
    </w:pPr>
    <w:rPr>
      <w:rFonts w:ascii="Arial" w:hAnsi="Arial"/>
      <w:b/>
      <w:bCs/>
    </w:rPr>
  </w:style>
  <w:style w:type="table" w:styleId="TableSimple1">
    <w:name w:val="Table Simple 1"/>
    <w:aliases w:val="Table Simple 1b"/>
    <w:basedOn w:val="TableNormal"/>
    <w:rsid w:val="00FD341E"/>
    <w:rPr>
      <w:rFonts w:ascii="Arial" w:eastAsia="Times New Roman" w:hAnsi="Arial"/>
      <w:sz w:val="18"/>
    </w:rPr>
    <w:tblPr>
      <w:tblStyleColBandSize w:val="1"/>
      <w:tblInd w:w="0" w:type="dxa"/>
      <w:tblBorders>
        <w:top w:val="single" w:sz="12" w:space="0" w:color="1F497D" w:themeColor="text2"/>
        <w:bottom w:val="single" w:sz="12" w:space="0" w:color="1F497D" w:themeColor="tex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20"/>
      </w:rPr>
      <w:tblPr/>
      <w:tcPr>
        <w:tcBorders>
          <w:bottom w:val="single" w:sz="6" w:space="0" w:color="1F497D" w:themeColor="text2"/>
        </w:tcBorders>
        <w:vAlign w:val="bottom"/>
      </w:tcPr>
    </w:tblStylePr>
    <w:tblStylePr w:type="lastRow">
      <w:tblPr/>
      <w:tcPr>
        <w:tcBorders>
          <w:top w:val="nil"/>
        </w:tcBorders>
        <w:shd w:val="clear" w:color="auto" w:fill="auto"/>
      </w:tcPr>
    </w:tblStylePr>
    <w:tblStylePr w:type="firstCol">
      <w:pPr>
        <w:wordWrap/>
        <w:jc w:val="left"/>
      </w:pPr>
    </w:tblStylePr>
    <w:tblStylePr w:type="band1Vert">
      <w:pPr>
        <w:wordWrap/>
        <w:jc w:val="right"/>
      </w:pPr>
    </w:tblStylePr>
    <w:tblStylePr w:type="band2Vert">
      <w:pPr>
        <w:wordWrap/>
        <w:jc w:val="right"/>
      </w:pPr>
    </w:tblStylePr>
  </w:style>
  <w:style w:type="paragraph" w:customStyle="1" w:styleId="TableFootnote8">
    <w:name w:val="TableFootnote8"/>
    <w:basedOn w:val="Normal"/>
    <w:link w:val="TableFootnote8Char"/>
    <w:qFormat/>
    <w:rsid w:val="00DE1DE5"/>
    <w:rPr>
      <w:rFonts w:ascii="Arial" w:eastAsia="Times New Roman" w:hAnsi="Arial" w:cs="Arial"/>
      <w:sz w:val="16"/>
      <w:szCs w:val="16"/>
    </w:rPr>
  </w:style>
  <w:style w:type="character" w:customStyle="1" w:styleId="TableFootnote8Char">
    <w:name w:val="TableFootnote8 Char"/>
    <w:basedOn w:val="DefaultParagraphFont"/>
    <w:link w:val="TableFootnote8"/>
    <w:rsid w:val="00DE1DE5"/>
    <w:rPr>
      <w:rFonts w:ascii="Arial" w:eastAsia="Times New Roman" w:hAnsi="Arial" w:cs="Arial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717D26"/>
    <w:rPr>
      <w:rFonts w:ascii="Arial" w:eastAsia="Times New Roman" w:hAnsi="Arial"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717D26"/>
    <w:rPr>
      <w:rFonts w:ascii="Arial" w:eastAsia="Times New Roman" w:hAnsi="Arial" w:cs="Times New Roman"/>
      <w:sz w:val="16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EE4A84"/>
    <w:rPr>
      <w:rFonts w:ascii="Times New Roman" w:hAnsi="Times New Roman"/>
      <w:sz w:val="20"/>
      <w:vertAlign w:val="superscript"/>
    </w:rPr>
  </w:style>
  <w:style w:type="paragraph" w:customStyle="1" w:styleId="ReferenceList">
    <w:name w:val="ReferenceList"/>
    <w:basedOn w:val="Normal"/>
    <w:qFormat/>
    <w:rsid w:val="00B0172E"/>
    <w:pPr>
      <w:numPr>
        <w:numId w:val="1"/>
      </w:numPr>
      <w:autoSpaceDE w:val="0"/>
      <w:autoSpaceDN w:val="0"/>
      <w:adjustRightInd w:val="0"/>
    </w:pPr>
    <w:rPr>
      <w:rFonts w:eastAsia="Times New Roman"/>
      <w:lang w:bidi="en-US"/>
    </w:rPr>
  </w:style>
  <w:style w:type="paragraph" w:customStyle="1" w:styleId="Table">
    <w:name w:val="Table"/>
    <w:basedOn w:val="Caption"/>
    <w:link w:val="TableChar"/>
    <w:rsid w:val="002303BE"/>
    <w:pPr>
      <w:spacing w:before="40" w:after="40"/>
    </w:pPr>
    <w:rPr>
      <w:rFonts w:eastAsia="Times New Roman"/>
      <w:b w:val="0"/>
      <w:bCs w:val="0"/>
      <w:color w:val="000000"/>
      <w:sz w:val="16"/>
    </w:rPr>
  </w:style>
  <w:style w:type="character" w:customStyle="1" w:styleId="TableChar">
    <w:name w:val="Table Char"/>
    <w:basedOn w:val="DefaultParagraphFont"/>
    <w:link w:val="Table"/>
    <w:rsid w:val="002303BE"/>
    <w:rPr>
      <w:rFonts w:ascii="Arial" w:eastAsia="Times New Roman" w:hAnsi="Arial"/>
      <w:color w:val="000000"/>
      <w:sz w:val="16"/>
    </w:rPr>
  </w:style>
  <w:style w:type="paragraph" w:customStyle="1" w:styleId="Table09">
    <w:name w:val="Table09"/>
    <w:basedOn w:val="Normal"/>
    <w:link w:val="Table09Char"/>
    <w:qFormat/>
    <w:rsid w:val="00B94BCD"/>
    <w:pPr>
      <w:keepNext/>
    </w:pPr>
    <w:rPr>
      <w:rFonts w:ascii="Arial" w:eastAsiaTheme="minorHAnsi" w:hAnsi="Arial"/>
      <w:sz w:val="18"/>
      <w:szCs w:val="18"/>
      <w:lang w:bidi="en-US"/>
    </w:rPr>
  </w:style>
  <w:style w:type="character" w:customStyle="1" w:styleId="Table09Char">
    <w:name w:val="Table09 Char"/>
    <w:basedOn w:val="DefaultParagraphFont"/>
    <w:link w:val="Table09"/>
    <w:rsid w:val="00B94BCD"/>
    <w:rPr>
      <w:rFonts w:ascii="Arial" w:hAnsi="Arial"/>
      <w:sz w:val="18"/>
      <w:szCs w:val="18"/>
      <w:lang w:bidi="en-US"/>
    </w:rPr>
  </w:style>
  <w:style w:type="paragraph" w:customStyle="1" w:styleId="TableFootnote08">
    <w:name w:val="TableFootnote08"/>
    <w:basedOn w:val="Normal"/>
    <w:link w:val="TableFootnote08Char"/>
    <w:qFormat/>
    <w:rsid w:val="005625DC"/>
    <w:pPr>
      <w:tabs>
        <w:tab w:val="left" w:pos="180"/>
      </w:tabs>
      <w:spacing w:before="60"/>
    </w:pPr>
    <w:rPr>
      <w:rFonts w:ascii="Calibri" w:eastAsia="Times New Roman" w:hAnsi="Calibri"/>
      <w:vertAlign w:val="superscript"/>
      <w:lang w:bidi="en-US"/>
    </w:rPr>
  </w:style>
  <w:style w:type="character" w:customStyle="1" w:styleId="TableFootnote08Char">
    <w:name w:val="TableFootnote08 Char"/>
    <w:basedOn w:val="DefaultParagraphFont"/>
    <w:link w:val="TableFootnote08"/>
    <w:rsid w:val="005625DC"/>
    <w:rPr>
      <w:rFonts w:ascii="Calibri" w:eastAsia="Times New Roman" w:hAnsi="Calibri" w:cs="Times New Roman"/>
      <w:sz w:val="20"/>
      <w:szCs w:val="20"/>
      <w:vertAlign w:val="superscript"/>
      <w:lang w:bidi="en-US"/>
    </w:rPr>
  </w:style>
  <w:style w:type="paragraph" w:customStyle="1" w:styleId="References">
    <w:name w:val="References"/>
    <w:basedOn w:val="TableFootnote08"/>
    <w:link w:val="ReferencesChar"/>
    <w:qFormat/>
    <w:rsid w:val="00AD3A1A"/>
    <w:pPr>
      <w:tabs>
        <w:tab w:val="clear" w:pos="180"/>
        <w:tab w:val="left" w:pos="360"/>
      </w:tabs>
      <w:ind w:left="360" w:hanging="360"/>
    </w:pPr>
    <w:rPr>
      <w:szCs w:val="16"/>
      <w:vertAlign w:val="baseline"/>
    </w:rPr>
  </w:style>
  <w:style w:type="character" w:customStyle="1" w:styleId="ReferencesChar">
    <w:name w:val="References Char"/>
    <w:basedOn w:val="TableFootnote08Char"/>
    <w:link w:val="References"/>
    <w:rsid w:val="00AD3A1A"/>
    <w:rPr>
      <w:rFonts w:ascii="Calibri" w:eastAsia="Times New Roman" w:hAnsi="Calibri" w:cs="Times New Roman"/>
      <w:sz w:val="20"/>
      <w:szCs w:val="16"/>
      <w:vertAlign w:val="superscript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303BE"/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303BE"/>
  </w:style>
  <w:style w:type="table" w:styleId="TableColumns4">
    <w:name w:val="Table Columns 4"/>
    <w:basedOn w:val="TableNormal"/>
    <w:rsid w:val="00F96ACF"/>
    <w:pPr>
      <w:spacing w:before="120" w:after="120"/>
    </w:pPr>
    <w:rPr>
      <w:rFonts w:ascii="Arial" w:eastAsia="Times New Roman" w:hAnsi="Arial"/>
      <w:sz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customStyle="1" w:styleId="Heading1Char">
    <w:name w:val="Heading 1 Char"/>
    <w:basedOn w:val="DefaultParagraphFont"/>
    <w:link w:val="Heading1"/>
    <w:rsid w:val="00821FC2"/>
    <w:rPr>
      <w:rFonts w:ascii="Arial" w:eastAsia="Times New Roman" w:hAnsi="Arial" w:cs="Arial"/>
      <w:b/>
      <w:bCs/>
      <w:kern w:val="32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1020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8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4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41944"/>
    <w:pPr>
      <w:spacing w:before="0" w:after="0"/>
      <w:jc w:val="center"/>
    </w:pPr>
    <w:rPr>
      <w:rFonts w:ascii="Arial" w:eastAsia="Times New Roman" w:hAnsi="Arial"/>
      <w:b/>
      <w:color w:val="000000"/>
    </w:rPr>
  </w:style>
  <w:style w:type="character" w:customStyle="1" w:styleId="TitleChar">
    <w:name w:val="Title Char"/>
    <w:basedOn w:val="DefaultParagraphFont"/>
    <w:link w:val="Title"/>
    <w:rsid w:val="00B41944"/>
    <w:rPr>
      <w:rFonts w:ascii="Arial" w:eastAsia="Times New Roman" w:hAnsi="Arial"/>
      <w:b/>
      <w:color w:val="000000"/>
      <w:sz w:val="22"/>
    </w:rPr>
  </w:style>
  <w:style w:type="paragraph" w:styleId="Subtitle">
    <w:name w:val="Subtitle"/>
    <w:basedOn w:val="Normal"/>
    <w:link w:val="SubtitleChar"/>
    <w:qFormat/>
    <w:rsid w:val="00B41944"/>
    <w:pPr>
      <w:spacing w:before="0" w:after="0"/>
      <w:jc w:val="center"/>
    </w:pPr>
    <w:rPr>
      <w:rFonts w:ascii="Arial" w:eastAsia="Times New Roman" w:hAnsi="Arial"/>
      <w:b/>
      <w:color w:val="000000"/>
    </w:rPr>
  </w:style>
  <w:style w:type="character" w:customStyle="1" w:styleId="SubtitleChar">
    <w:name w:val="Subtitle Char"/>
    <w:basedOn w:val="DefaultParagraphFont"/>
    <w:link w:val="Subtitle"/>
    <w:rsid w:val="00B41944"/>
    <w:rPr>
      <w:rFonts w:ascii="Arial" w:eastAsia="Times New Roman" w:hAnsi="Arial"/>
      <w:b/>
      <w:color w:val="000000"/>
      <w:sz w:val="22"/>
    </w:rPr>
  </w:style>
  <w:style w:type="paragraph" w:styleId="BodyTextIndent">
    <w:name w:val="Body Text Indent"/>
    <w:basedOn w:val="Normal"/>
    <w:link w:val="BodyTextIndentChar"/>
    <w:rsid w:val="00601E2A"/>
    <w:pPr>
      <w:autoSpaceDE w:val="0"/>
      <w:autoSpaceDN w:val="0"/>
      <w:adjustRightInd w:val="0"/>
      <w:ind w:left="1152"/>
    </w:pPr>
    <w:rPr>
      <w:rFonts w:ascii="TimesNewRoman,Italic" w:eastAsia="Times New Roman" w:hAnsi="TimesNewRoman,Italic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01E2A"/>
    <w:rPr>
      <w:rFonts w:ascii="TimesNewRoman,Italic" w:eastAsia="Times New Roman" w:hAnsi="TimesNewRoman,Italic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F0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092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ListParagraph">
    <w:name w:val="List Paragraph"/>
    <w:basedOn w:val="Normal"/>
    <w:uiPriority w:val="34"/>
    <w:qFormat/>
    <w:rsid w:val="00714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39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3639F"/>
    <w:rPr>
      <w:rFonts w:eastAsia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E3639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3639F"/>
    <w:rPr>
      <w:rFonts w:eastAsia="Calibri"/>
      <w:sz w:val="22"/>
    </w:rPr>
  </w:style>
  <w:style w:type="character" w:styleId="PageNumber">
    <w:name w:val="page number"/>
    <w:basedOn w:val="DefaultParagraphFont"/>
    <w:rsid w:val="00463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reference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Columns 4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4C8"/>
    <w:pPr>
      <w:spacing w:before="120" w:after="120"/>
    </w:pPr>
    <w:rPr>
      <w:rFonts w:eastAsia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821F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genda">
    <w:name w:val="NormalAgenda"/>
    <w:basedOn w:val="Normal"/>
    <w:link w:val="NormalAgendaChar"/>
    <w:qFormat/>
    <w:rsid w:val="002C4EA6"/>
    <w:pPr>
      <w:ind w:left="1440"/>
    </w:pPr>
    <w:rPr>
      <w:rFonts w:eastAsia="Times New Roman"/>
      <w:szCs w:val="24"/>
    </w:rPr>
  </w:style>
  <w:style w:type="character" w:customStyle="1" w:styleId="NormalAgendaChar">
    <w:name w:val="NormalAgenda Char"/>
    <w:basedOn w:val="DefaultParagraphFont"/>
    <w:link w:val="NormalAgenda"/>
    <w:rsid w:val="002C4EA6"/>
    <w:rPr>
      <w:rFonts w:ascii="Times New Roman" w:eastAsia="Times New Roman" w:hAnsi="Times New Roman" w:cs="Times New Roman"/>
      <w:sz w:val="20"/>
      <w:szCs w:val="24"/>
    </w:rPr>
  </w:style>
  <w:style w:type="paragraph" w:customStyle="1" w:styleId="TableFootnote">
    <w:name w:val="TableFootnote"/>
    <w:basedOn w:val="NormalWeb"/>
    <w:qFormat/>
    <w:rsid w:val="00151DE5"/>
    <w:pPr>
      <w:ind w:left="806" w:right="3787" w:hanging="86"/>
    </w:pPr>
    <w:rPr>
      <w:rFonts w:ascii="Arial" w:eastAsia="Times New Roman" w:hAnsi="Arial" w:cs="Arial"/>
      <w:sz w:val="16"/>
      <w:szCs w:val="16"/>
      <w:vertAlign w:val="superscript"/>
    </w:rPr>
  </w:style>
  <w:style w:type="paragraph" w:styleId="NormalWeb">
    <w:name w:val="Normal (Web)"/>
    <w:basedOn w:val="Normal"/>
    <w:unhideWhenUsed/>
    <w:rsid w:val="00151DE5"/>
    <w:rPr>
      <w:rFonts w:eastAsiaTheme="minorHAnsi"/>
      <w:sz w:val="24"/>
      <w:szCs w:val="24"/>
    </w:rPr>
  </w:style>
  <w:style w:type="paragraph" w:customStyle="1" w:styleId="TableFootnote1">
    <w:name w:val="TableFootnote1"/>
    <w:basedOn w:val="TableFootnote"/>
    <w:link w:val="TableFootnote1Char"/>
    <w:qFormat/>
    <w:rsid w:val="00151DE5"/>
    <w:pPr>
      <w:ind w:left="900" w:hanging="180"/>
    </w:pPr>
    <w:rPr>
      <w:vertAlign w:val="baseline"/>
    </w:rPr>
  </w:style>
  <w:style w:type="character" w:customStyle="1" w:styleId="TableFootnote1Char">
    <w:name w:val="TableFootnote1 Char"/>
    <w:basedOn w:val="DefaultParagraphFont"/>
    <w:link w:val="TableFootnote1"/>
    <w:rsid w:val="00151DE5"/>
    <w:rPr>
      <w:rFonts w:ascii="Arial" w:eastAsia="Times New Roman" w:hAnsi="Arial" w:cs="Arial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1610C"/>
    <w:pPr>
      <w:keepNext/>
      <w:tabs>
        <w:tab w:val="left" w:pos="900"/>
      </w:tabs>
    </w:pPr>
    <w:rPr>
      <w:rFonts w:ascii="Arial" w:hAnsi="Arial"/>
      <w:b/>
      <w:bCs/>
    </w:rPr>
  </w:style>
  <w:style w:type="table" w:styleId="TableSimple1">
    <w:name w:val="Table Simple 1"/>
    <w:aliases w:val="Table Simple 1b"/>
    <w:basedOn w:val="TableNormal"/>
    <w:rsid w:val="00FD341E"/>
    <w:rPr>
      <w:rFonts w:ascii="Arial" w:eastAsia="Times New Roman" w:hAnsi="Arial"/>
      <w:sz w:val="18"/>
    </w:rPr>
    <w:tblPr>
      <w:tblStyleColBandSize w:val="1"/>
      <w:tblInd w:w="0" w:type="dxa"/>
      <w:tblBorders>
        <w:top w:val="single" w:sz="12" w:space="0" w:color="1F497D" w:themeColor="text2"/>
        <w:bottom w:val="single" w:sz="12" w:space="0" w:color="1F497D" w:themeColor="tex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20"/>
      </w:rPr>
      <w:tblPr/>
      <w:tcPr>
        <w:tcBorders>
          <w:bottom w:val="single" w:sz="6" w:space="0" w:color="1F497D" w:themeColor="text2"/>
        </w:tcBorders>
        <w:vAlign w:val="bottom"/>
      </w:tcPr>
    </w:tblStylePr>
    <w:tblStylePr w:type="lastRow">
      <w:tblPr/>
      <w:tcPr>
        <w:tcBorders>
          <w:top w:val="nil"/>
        </w:tcBorders>
        <w:shd w:val="clear" w:color="auto" w:fill="auto"/>
      </w:tcPr>
    </w:tblStylePr>
    <w:tblStylePr w:type="firstCol">
      <w:pPr>
        <w:wordWrap/>
        <w:jc w:val="left"/>
      </w:pPr>
    </w:tblStylePr>
    <w:tblStylePr w:type="band1Vert">
      <w:pPr>
        <w:wordWrap/>
        <w:jc w:val="right"/>
      </w:pPr>
    </w:tblStylePr>
    <w:tblStylePr w:type="band2Vert">
      <w:pPr>
        <w:wordWrap/>
        <w:jc w:val="right"/>
      </w:pPr>
    </w:tblStylePr>
  </w:style>
  <w:style w:type="paragraph" w:customStyle="1" w:styleId="TableFootnote8">
    <w:name w:val="TableFootnote8"/>
    <w:basedOn w:val="Normal"/>
    <w:link w:val="TableFootnote8Char"/>
    <w:qFormat/>
    <w:rsid w:val="00DE1DE5"/>
    <w:rPr>
      <w:rFonts w:ascii="Arial" w:eastAsia="Times New Roman" w:hAnsi="Arial" w:cs="Arial"/>
      <w:sz w:val="16"/>
      <w:szCs w:val="16"/>
    </w:rPr>
  </w:style>
  <w:style w:type="character" w:customStyle="1" w:styleId="TableFootnote8Char">
    <w:name w:val="TableFootnote8 Char"/>
    <w:basedOn w:val="DefaultParagraphFont"/>
    <w:link w:val="TableFootnote8"/>
    <w:rsid w:val="00DE1DE5"/>
    <w:rPr>
      <w:rFonts w:ascii="Arial" w:eastAsia="Times New Roman" w:hAnsi="Arial" w:cs="Arial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717D26"/>
    <w:rPr>
      <w:rFonts w:ascii="Arial" w:eastAsia="Times New Roman" w:hAnsi="Arial"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717D26"/>
    <w:rPr>
      <w:rFonts w:ascii="Arial" w:eastAsia="Times New Roman" w:hAnsi="Arial" w:cs="Times New Roman"/>
      <w:sz w:val="16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EE4A84"/>
    <w:rPr>
      <w:rFonts w:ascii="Times New Roman" w:hAnsi="Times New Roman"/>
      <w:sz w:val="20"/>
      <w:vertAlign w:val="superscript"/>
    </w:rPr>
  </w:style>
  <w:style w:type="paragraph" w:customStyle="1" w:styleId="ReferenceList">
    <w:name w:val="ReferenceList"/>
    <w:basedOn w:val="Normal"/>
    <w:qFormat/>
    <w:rsid w:val="00B0172E"/>
    <w:pPr>
      <w:numPr>
        <w:numId w:val="1"/>
      </w:numPr>
      <w:autoSpaceDE w:val="0"/>
      <w:autoSpaceDN w:val="0"/>
      <w:adjustRightInd w:val="0"/>
    </w:pPr>
    <w:rPr>
      <w:rFonts w:eastAsia="Times New Roman"/>
      <w:lang w:bidi="en-US"/>
    </w:rPr>
  </w:style>
  <w:style w:type="paragraph" w:customStyle="1" w:styleId="Table">
    <w:name w:val="Table"/>
    <w:basedOn w:val="Caption"/>
    <w:link w:val="TableChar"/>
    <w:rsid w:val="002303BE"/>
    <w:pPr>
      <w:spacing w:before="40" w:after="40"/>
    </w:pPr>
    <w:rPr>
      <w:rFonts w:eastAsia="Times New Roman"/>
      <w:b w:val="0"/>
      <w:bCs w:val="0"/>
      <w:color w:val="000000"/>
      <w:sz w:val="16"/>
    </w:rPr>
  </w:style>
  <w:style w:type="character" w:customStyle="1" w:styleId="TableChar">
    <w:name w:val="Table Char"/>
    <w:basedOn w:val="DefaultParagraphFont"/>
    <w:link w:val="Table"/>
    <w:rsid w:val="002303BE"/>
    <w:rPr>
      <w:rFonts w:ascii="Arial" w:eastAsia="Times New Roman" w:hAnsi="Arial"/>
      <w:color w:val="000000"/>
      <w:sz w:val="16"/>
    </w:rPr>
  </w:style>
  <w:style w:type="paragraph" w:customStyle="1" w:styleId="Table09">
    <w:name w:val="Table09"/>
    <w:basedOn w:val="Normal"/>
    <w:link w:val="Table09Char"/>
    <w:qFormat/>
    <w:rsid w:val="00B94BCD"/>
    <w:pPr>
      <w:keepNext/>
    </w:pPr>
    <w:rPr>
      <w:rFonts w:ascii="Arial" w:eastAsiaTheme="minorHAnsi" w:hAnsi="Arial"/>
      <w:sz w:val="18"/>
      <w:szCs w:val="18"/>
      <w:lang w:bidi="en-US"/>
    </w:rPr>
  </w:style>
  <w:style w:type="character" w:customStyle="1" w:styleId="Table09Char">
    <w:name w:val="Table09 Char"/>
    <w:basedOn w:val="DefaultParagraphFont"/>
    <w:link w:val="Table09"/>
    <w:rsid w:val="00B94BCD"/>
    <w:rPr>
      <w:rFonts w:ascii="Arial" w:hAnsi="Arial"/>
      <w:sz w:val="18"/>
      <w:szCs w:val="18"/>
      <w:lang w:bidi="en-US"/>
    </w:rPr>
  </w:style>
  <w:style w:type="paragraph" w:customStyle="1" w:styleId="TableFootnote08">
    <w:name w:val="TableFootnote08"/>
    <w:basedOn w:val="Normal"/>
    <w:link w:val="TableFootnote08Char"/>
    <w:qFormat/>
    <w:rsid w:val="005625DC"/>
    <w:pPr>
      <w:tabs>
        <w:tab w:val="left" w:pos="180"/>
      </w:tabs>
      <w:spacing w:before="60"/>
    </w:pPr>
    <w:rPr>
      <w:rFonts w:ascii="Calibri" w:eastAsia="Times New Roman" w:hAnsi="Calibri"/>
      <w:vertAlign w:val="superscript"/>
      <w:lang w:bidi="en-US"/>
    </w:rPr>
  </w:style>
  <w:style w:type="character" w:customStyle="1" w:styleId="TableFootnote08Char">
    <w:name w:val="TableFootnote08 Char"/>
    <w:basedOn w:val="DefaultParagraphFont"/>
    <w:link w:val="TableFootnote08"/>
    <w:rsid w:val="005625DC"/>
    <w:rPr>
      <w:rFonts w:ascii="Calibri" w:eastAsia="Times New Roman" w:hAnsi="Calibri" w:cs="Times New Roman"/>
      <w:sz w:val="20"/>
      <w:szCs w:val="20"/>
      <w:vertAlign w:val="superscript"/>
      <w:lang w:bidi="en-US"/>
    </w:rPr>
  </w:style>
  <w:style w:type="paragraph" w:customStyle="1" w:styleId="References">
    <w:name w:val="References"/>
    <w:basedOn w:val="TableFootnote08"/>
    <w:link w:val="ReferencesChar"/>
    <w:qFormat/>
    <w:rsid w:val="00AD3A1A"/>
    <w:pPr>
      <w:tabs>
        <w:tab w:val="clear" w:pos="180"/>
        <w:tab w:val="left" w:pos="360"/>
      </w:tabs>
      <w:ind w:left="360" w:hanging="360"/>
    </w:pPr>
    <w:rPr>
      <w:szCs w:val="16"/>
      <w:vertAlign w:val="baseline"/>
    </w:rPr>
  </w:style>
  <w:style w:type="character" w:customStyle="1" w:styleId="ReferencesChar">
    <w:name w:val="References Char"/>
    <w:basedOn w:val="TableFootnote08Char"/>
    <w:link w:val="References"/>
    <w:rsid w:val="00AD3A1A"/>
    <w:rPr>
      <w:rFonts w:ascii="Calibri" w:eastAsia="Times New Roman" w:hAnsi="Calibri" w:cs="Times New Roman"/>
      <w:sz w:val="20"/>
      <w:szCs w:val="16"/>
      <w:vertAlign w:val="superscript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303BE"/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303BE"/>
  </w:style>
  <w:style w:type="table" w:styleId="TableColumns4">
    <w:name w:val="Table Columns 4"/>
    <w:basedOn w:val="TableNormal"/>
    <w:rsid w:val="00F96ACF"/>
    <w:pPr>
      <w:spacing w:before="120" w:after="120"/>
    </w:pPr>
    <w:rPr>
      <w:rFonts w:ascii="Arial" w:eastAsia="Times New Roman" w:hAnsi="Arial"/>
      <w:sz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customStyle="1" w:styleId="Heading1Char">
    <w:name w:val="Heading 1 Char"/>
    <w:basedOn w:val="DefaultParagraphFont"/>
    <w:link w:val="Heading1"/>
    <w:rsid w:val="00821FC2"/>
    <w:rPr>
      <w:rFonts w:ascii="Arial" w:eastAsia="Times New Roman" w:hAnsi="Arial" w:cs="Arial"/>
      <w:b/>
      <w:bCs/>
      <w:kern w:val="32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1020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8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4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41944"/>
    <w:pPr>
      <w:spacing w:before="0" w:after="0"/>
      <w:jc w:val="center"/>
    </w:pPr>
    <w:rPr>
      <w:rFonts w:ascii="Arial" w:eastAsia="Times New Roman" w:hAnsi="Arial"/>
      <w:b/>
      <w:color w:val="000000"/>
    </w:rPr>
  </w:style>
  <w:style w:type="character" w:customStyle="1" w:styleId="TitleChar">
    <w:name w:val="Title Char"/>
    <w:basedOn w:val="DefaultParagraphFont"/>
    <w:link w:val="Title"/>
    <w:rsid w:val="00B41944"/>
    <w:rPr>
      <w:rFonts w:ascii="Arial" w:eastAsia="Times New Roman" w:hAnsi="Arial"/>
      <w:b/>
      <w:color w:val="000000"/>
      <w:sz w:val="22"/>
    </w:rPr>
  </w:style>
  <w:style w:type="paragraph" w:styleId="Subtitle">
    <w:name w:val="Subtitle"/>
    <w:basedOn w:val="Normal"/>
    <w:link w:val="SubtitleChar"/>
    <w:qFormat/>
    <w:rsid w:val="00B41944"/>
    <w:pPr>
      <w:spacing w:before="0" w:after="0"/>
      <w:jc w:val="center"/>
    </w:pPr>
    <w:rPr>
      <w:rFonts w:ascii="Arial" w:eastAsia="Times New Roman" w:hAnsi="Arial"/>
      <w:b/>
      <w:color w:val="000000"/>
    </w:rPr>
  </w:style>
  <w:style w:type="character" w:customStyle="1" w:styleId="SubtitleChar">
    <w:name w:val="Subtitle Char"/>
    <w:basedOn w:val="DefaultParagraphFont"/>
    <w:link w:val="Subtitle"/>
    <w:rsid w:val="00B41944"/>
    <w:rPr>
      <w:rFonts w:ascii="Arial" w:eastAsia="Times New Roman" w:hAnsi="Arial"/>
      <w:b/>
      <w:color w:val="000000"/>
      <w:sz w:val="22"/>
    </w:rPr>
  </w:style>
  <w:style w:type="paragraph" w:styleId="BodyTextIndent">
    <w:name w:val="Body Text Indent"/>
    <w:basedOn w:val="Normal"/>
    <w:link w:val="BodyTextIndentChar"/>
    <w:rsid w:val="00601E2A"/>
    <w:pPr>
      <w:autoSpaceDE w:val="0"/>
      <w:autoSpaceDN w:val="0"/>
      <w:adjustRightInd w:val="0"/>
      <w:ind w:left="1152"/>
    </w:pPr>
    <w:rPr>
      <w:rFonts w:ascii="TimesNewRoman,Italic" w:eastAsia="Times New Roman" w:hAnsi="TimesNewRoman,Italic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01E2A"/>
    <w:rPr>
      <w:rFonts w:ascii="TimesNewRoman,Italic" w:eastAsia="Times New Roman" w:hAnsi="TimesNewRoman,Italic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F0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092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ListParagraph">
    <w:name w:val="List Paragraph"/>
    <w:basedOn w:val="Normal"/>
    <w:uiPriority w:val="34"/>
    <w:qFormat/>
    <w:rsid w:val="00714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39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3639F"/>
    <w:rPr>
      <w:rFonts w:eastAsia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E3639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3639F"/>
    <w:rPr>
      <w:rFonts w:eastAsia="Calibri"/>
      <w:sz w:val="22"/>
    </w:rPr>
  </w:style>
  <w:style w:type="character" w:styleId="PageNumber">
    <w:name w:val="page number"/>
    <w:basedOn w:val="DefaultParagraphFont"/>
    <w:rsid w:val="0046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5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64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900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2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8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1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483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0054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vaww.pbm.va.gov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pbm.va.gov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vaww.pbm.va.gov" TargetMode="External"/><Relationship Id="rId1" Type="http://schemas.openxmlformats.org/officeDocument/2006/relationships/hyperlink" Target="http://www.pbm.va.gov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vaww.pbm.va.gov" TargetMode="External"/><Relationship Id="rId1" Type="http://schemas.openxmlformats.org/officeDocument/2006/relationships/hyperlink" Target="http://www.pbm.v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apbhGoodmF\AppData\Roaming\Microsoft\Templates\Cochrane%20Tables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20ED0BA549147B67B93624EC38BE2" ma:contentTypeVersion="1" ma:contentTypeDescription="Create a new document." ma:contentTypeScope="" ma:versionID="b11ac1f38211a3099184790f2c9a42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41e375015c50f2ed44184d8d0dcf8a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8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11" nillable="true" ma:displayName="Source Url" ma:hidden="true" ma:internalName="_SourceUrl">
      <xsd:simpleType>
        <xsd:restriction base="dms:Text"/>
      </xsd:simpleType>
    </xsd:element>
    <xsd:element name="_SharedFileIndex" ma:index="12" nillable="true" ma:displayName="Shared File Index" ma:hidden="true" ma:internalName="_SharedFileIndex">
      <xsd:simpleType>
        <xsd:restriction base="dms:Text"/>
      </xsd:simpleType>
    </xsd:element>
    <xsd:element name="ContentTypeId" ma:index="13" nillable="true" ma:displayName="Content Type ID" ma:hidden="true" ma:internalName="ContentTypeId" ma:readOnly="true">
      <xsd:simpleType>
        <xsd:restriction base="dms:Unknown"/>
      </xsd:simpleType>
    </xsd:element>
    <xsd:element name="TemplateUrl" ma:index="14" nillable="true" ma:displayName="Template Link" ma:hidden="true" ma:internalName="TemplateUrl">
      <xsd:simpleType>
        <xsd:restriction base="dms:Text"/>
      </xsd:simpleType>
    </xsd:element>
    <xsd:element name="xd_ProgID" ma:index="15" nillable="true" ma:displayName="Html File Link" ma:hidden="true" ma:internalName="xd_ProgID">
      <xsd:simpleType>
        <xsd:restriction base="dms:Text"/>
      </xsd:simpleType>
    </xsd:element>
    <xsd:element name="xd_Signature" ma:index="16" nillable="true" ma:displayName="Is Signed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18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9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0" nillable="true" ma:displayName="Has Copy Destinations" ma:hidden="true" ma:internalName="_HasCopyDestinations" ma:readOnly="false">
      <xsd:simpleType>
        <xsd:restriction base="dms:Boolean"/>
      </xsd:simpleType>
    </xsd:element>
    <xsd:element name="_CopySource" ma:index="21" nillable="true" ma:displayName="Copy Source" ma:internalName="_CopySource" ma:readOnly="true">
      <xsd:simpleType>
        <xsd:restriction base="dms:Text"/>
      </xsd:simpleType>
    </xsd:element>
    <xsd:element name="_ModerationStatus" ma:index="22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3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4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5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6" nillable="true" ma:displayName="Created" ma:format="TRUE" ma:hidden="true" ma:list="Docs" ma:internalName="Created_x0020_Date" ma:readOnly="false" ma:showField="TimeCreated">
      <xsd:simpleType>
        <xsd:restriction base="dms:Lookup"/>
      </xsd:simpleType>
    </xsd:element>
    <xsd:element name="File_x0020_Size" ma:index="27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8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30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1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2" nillable="true" ma:displayName="Checked Out To" ma:hidden="true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34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5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6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7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38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49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50" nillable="true" ma:displayName="Level" ma:hidden="true" ma:internalName="_Level" ma:readOnly="true">
      <xsd:simpleType>
        <xsd:restriction base="dms:Unknown"/>
      </xsd:simpleType>
    </xsd:element>
    <xsd:element name="_IsCurrentVersion" ma:index="51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4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5" nillable="true" ma:displayName="UI Version" ma:hidden="true" ma:internalName="_UIVersion" ma:readOnly="true">
      <xsd:simpleType>
        <xsd:restriction base="dms:Unknown"/>
      </xsd:simpleType>
    </xsd:element>
    <xsd:element name="_UIVersionString" ma:index="56" nillable="true" ma:displayName="Version" ma:internalName="_UIVersionString" ma:readOnly="true">
      <xsd:simpleType>
        <xsd:restriction base="dms:Text"/>
      </xsd:simpleType>
    </xsd:element>
    <xsd:element name="InstanceID" ma:index="57" nillable="true" ma:displayName="Instance ID" ma:hidden="true" ma:internalName="InstanceID" ma:readOnly="true">
      <xsd:simpleType>
        <xsd:restriction base="dms:Unknown"/>
      </xsd:simpleType>
    </xsd:element>
    <xsd:element name="Order" ma:index="58" nillable="true" ma:displayName="Order" ma:hidden="true" ma:internalName="Order">
      <xsd:simpleType>
        <xsd:restriction base="dms:Number"/>
      </xsd:simpleType>
    </xsd:element>
    <xsd:element name="GUID" ma:index="59" nillable="true" ma:displayName="GUID" ma:hidden="true" ma:internalName="GUID" ma:readOnly="true">
      <xsd:simpleType>
        <xsd:restriction base="dms:Unknown"/>
      </xsd:simpleType>
    </xsd:element>
    <xsd:element name="WorkflowVersion" ma:index="60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1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2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3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0x0101007D220ED0BA549147B67B93624EC38BE2</ContentTypeId>
    <TemplateUrl xmlns="http://schemas.microsoft.com/sharepoint/v3" xsi:nil="true"/>
    <_SourceUrl xmlns="http://schemas.microsoft.com/sharepoint/v3" xsi:nil="true"/>
    <Created_x0020_Date xmlns="http://schemas.microsoft.com/sharepoint/v3" xsi:nil="true"/>
    <_HasCopyDestinations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78BB24-EC50-4970-99A3-3B649D14BA3F}"/>
</file>

<file path=customXml/itemProps2.xml><?xml version="1.0" encoding="utf-8"?>
<ds:datastoreItem xmlns:ds="http://schemas.openxmlformats.org/officeDocument/2006/customXml" ds:itemID="{F8E59AF0-E97F-444A-8493-EDCCF9EA4C67}"/>
</file>

<file path=customXml/itemProps3.xml><?xml version="1.0" encoding="utf-8"?>
<ds:datastoreItem xmlns:ds="http://schemas.openxmlformats.org/officeDocument/2006/customXml" ds:itemID="{81E87B98-89BB-486B-8725-B81BAD00971C}"/>
</file>

<file path=customXml/itemProps4.xml><?xml version="1.0" encoding="utf-8"?>
<ds:datastoreItem xmlns:ds="http://schemas.openxmlformats.org/officeDocument/2006/customXml" ds:itemID="{D702ECD0-0DDA-4885-8879-F6718BCA5EA8}"/>
</file>

<file path=docProps/app.xml><?xml version="1.0" encoding="utf-8"?>
<Properties xmlns="http://schemas.openxmlformats.org/officeDocument/2006/extended-properties" xmlns:vt="http://schemas.openxmlformats.org/officeDocument/2006/docPropsVTypes">
  <Template>Cochrane Tables 2</Template>
  <TotalTime>15</TotalTime>
  <Pages>8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Goodman, Francine</dc:creator>
  <cp:lastModifiedBy>Goodman, Francine</cp:lastModifiedBy>
  <cp:revision>4</cp:revision>
  <dcterms:created xsi:type="dcterms:W3CDTF">2014-01-22T16:34:00Z</dcterms:created>
  <dcterms:modified xsi:type="dcterms:W3CDTF">2014-01-22T17:06:00Z</dcterms:modified>
</cp:coreProperties>
</file>