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4E" w:rsidRDefault="00891449" w:rsidP="009C214E">
      <w:pPr>
        <w:pStyle w:val="Subtitle"/>
        <w:pBdr>
          <w:top w:val="single" w:sz="4" w:space="8" w:color="auto"/>
          <w:bottom w:val="single" w:sz="4" w:space="8" w:color="auto"/>
        </w:pBdr>
        <w:shd w:val="clear" w:color="auto" w:fill="E0E0E0"/>
        <w:spacing w:before="40" w:after="40"/>
        <w:outlineLvl w:val="0"/>
        <w:rPr>
          <w:sz w:val="28"/>
        </w:rPr>
      </w:pPr>
      <w:r>
        <w:rPr>
          <w:sz w:val="28"/>
        </w:rPr>
        <w:t>Vismodegib (Erivedge)</w:t>
      </w:r>
    </w:p>
    <w:p w:rsidR="009C214E" w:rsidRDefault="00891449">
      <w:pPr>
        <w:pStyle w:val="Title"/>
        <w:pBdr>
          <w:top w:val="single" w:sz="4" w:space="8" w:color="auto"/>
          <w:bottom w:val="single" w:sz="4" w:space="8" w:color="auto"/>
        </w:pBdr>
        <w:shd w:val="clear" w:color="auto" w:fill="E0E0E0"/>
        <w:spacing w:before="40" w:after="40"/>
      </w:pPr>
      <w:r>
        <w:t>National Drug Monograph</w:t>
      </w:r>
    </w:p>
    <w:p w:rsidR="009C214E" w:rsidRDefault="003379B0">
      <w:pPr>
        <w:pStyle w:val="Subtitle"/>
        <w:pBdr>
          <w:top w:val="single" w:sz="4" w:space="8" w:color="auto"/>
          <w:bottom w:val="single" w:sz="4" w:space="8" w:color="auto"/>
        </w:pBdr>
        <w:shd w:val="clear" w:color="auto" w:fill="E0E0E0"/>
        <w:spacing w:before="40" w:after="40"/>
      </w:pPr>
      <w:r>
        <w:t>November</w:t>
      </w:r>
      <w:r w:rsidR="00891449">
        <w:t xml:space="preserve"> 2013</w:t>
      </w:r>
    </w:p>
    <w:p w:rsidR="009C214E" w:rsidRDefault="00891449">
      <w:pPr>
        <w:pStyle w:val="Subtitle"/>
        <w:pBdr>
          <w:top w:val="single" w:sz="4" w:space="8" w:color="auto"/>
          <w:bottom w:val="single" w:sz="4" w:space="8" w:color="auto"/>
        </w:pBdr>
        <w:shd w:val="clear" w:color="auto" w:fill="E0E0E0"/>
        <w:spacing w:before="40" w:after="40"/>
      </w:pPr>
      <w:r>
        <w:rPr>
          <w:sz w:val="18"/>
        </w:rPr>
        <w:t xml:space="preserve">VA Pharmacy Benefits Management Services, </w:t>
      </w:r>
      <w:r>
        <w:rPr>
          <w:sz w:val="18"/>
        </w:rPr>
        <w:br/>
        <w:t>Medical Advisory Panel, and VISN Pharmacist Executives</w:t>
      </w:r>
    </w:p>
    <w:p w:rsidR="009C214E" w:rsidRPr="00937B26" w:rsidRDefault="00891449" w:rsidP="009C214E">
      <w:pPr>
        <w:pStyle w:val="NormalWeb"/>
        <w:rPr>
          <w:sz w:val="18"/>
          <w:szCs w:val="18"/>
        </w:rPr>
      </w:pPr>
      <w:r w:rsidRPr="00937B26">
        <w:rPr>
          <w:i/>
          <w:iCs/>
          <w:sz w:val="18"/>
          <w:szCs w:val="18"/>
        </w:rPr>
        <w:t>The purpose of VA PBM</w:t>
      </w:r>
      <w:r>
        <w:rPr>
          <w:i/>
          <w:iCs/>
          <w:sz w:val="18"/>
          <w:szCs w:val="18"/>
        </w:rPr>
        <w:t xml:space="preserve"> Services</w:t>
      </w:r>
      <w:r w:rsidRPr="00937B26">
        <w:rPr>
          <w:i/>
          <w:iCs/>
          <w:sz w:val="18"/>
          <w:szCs w:val="18"/>
        </w:rPr>
        <w:t xml:space="preserve"> drug monographs is to provide a comprehensive drug review for making formulary decisions. These documents will be updated when new </w:t>
      </w:r>
      <w:r>
        <w:rPr>
          <w:i/>
          <w:iCs/>
          <w:sz w:val="18"/>
          <w:szCs w:val="18"/>
        </w:rPr>
        <w:t xml:space="preserve">clinical </w:t>
      </w:r>
      <w:r w:rsidRPr="00937B26">
        <w:rPr>
          <w:i/>
          <w:iCs/>
          <w:sz w:val="18"/>
          <w:szCs w:val="18"/>
        </w:rPr>
        <w:t>data warrant additional formulary discussion. Documents will be placed in the Archive section when the information is deemed to be no longer current.</w:t>
      </w:r>
    </w:p>
    <w:p w:rsidR="009C214E" w:rsidRPr="00BF021C" w:rsidRDefault="00891449" w:rsidP="009C214E">
      <w:pPr>
        <w:pStyle w:val="FootnoteText"/>
        <w:outlineLvl w:val="0"/>
        <w:rPr>
          <w:b/>
          <w:color w:val="000000"/>
          <w:sz w:val="22"/>
          <w:szCs w:val="22"/>
        </w:rPr>
      </w:pPr>
      <w:bookmarkStart w:id="0" w:name="_Ref80503453"/>
      <w:r w:rsidRPr="00BF021C">
        <w:rPr>
          <w:b/>
          <w:sz w:val="22"/>
          <w:szCs w:val="22"/>
        </w:rPr>
        <w:t>Executive Summary</w:t>
      </w:r>
      <w:r w:rsidRPr="00BF021C">
        <w:rPr>
          <w:b/>
          <w:color w:val="000000"/>
          <w:sz w:val="22"/>
          <w:szCs w:val="22"/>
        </w:rPr>
        <w:t xml:space="preserve"> </w:t>
      </w:r>
    </w:p>
    <w:p w:rsidR="009C214E" w:rsidRPr="00BF021C" w:rsidRDefault="009C214E" w:rsidP="009C214E">
      <w:pPr>
        <w:pStyle w:val="FootnoteText"/>
        <w:outlineLvl w:val="0"/>
        <w:rPr>
          <w:b/>
          <w:color w:val="000000"/>
        </w:rPr>
      </w:pPr>
    </w:p>
    <w:p w:rsidR="009C214E" w:rsidRPr="00EA7512" w:rsidRDefault="00891449" w:rsidP="009C214E">
      <w:pPr>
        <w:pStyle w:val="FootnoteText"/>
        <w:outlineLvl w:val="0"/>
        <w:rPr>
          <w:color w:val="000000"/>
          <w:sz w:val="22"/>
          <w:szCs w:val="22"/>
        </w:rPr>
      </w:pPr>
      <w:r w:rsidRPr="00EA7512">
        <w:rPr>
          <w:color w:val="000000"/>
          <w:sz w:val="22"/>
          <w:szCs w:val="22"/>
        </w:rPr>
        <w:t xml:space="preserve">Vismodegib is an oral inhibitor of the Hedgehog pathway approved by the US Food and Drug Administration in January 2012. It is the first systemic treatment for patients with locally advanced or metastatic basal cell carcinoma (BCC) that is not amenable to surgery or radiation. </w:t>
      </w:r>
    </w:p>
    <w:p w:rsidR="009C214E" w:rsidRPr="00EA7512" w:rsidRDefault="009C214E" w:rsidP="009C214E">
      <w:pPr>
        <w:pStyle w:val="FootnoteText"/>
        <w:outlineLvl w:val="0"/>
        <w:rPr>
          <w:color w:val="000000"/>
          <w:sz w:val="22"/>
          <w:szCs w:val="22"/>
        </w:rPr>
      </w:pPr>
    </w:p>
    <w:p w:rsidR="009C214E" w:rsidRPr="00EA7512" w:rsidRDefault="00891449" w:rsidP="009C214E">
      <w:pPr>
        <w:pStyle w:val="FootnoteText"/>
        <w:outlineLvl w:val="0"/>
        <w:rPr>
          <w:b/>
          <w:color w:val="000000"/>
          <w:sz w:val="22"/>
          <w:szCs w:val="22"/>
        </w:rPr>
      </w:pPr>
      <w:r w:rsidRPr="00EA7512">
        <w:rPr>
          <w:b/>
          <w:color w:val="000000"/>
          <w:sz w:val="22"/>
          <w:szCs w:val="22"/>
        </w:rPr>
        <w:t xml:space="preserve">Efficacy: </w:t>
      </w:r>
    </w:p>
    <w:p w:rsidR="009C214E" w:rsidRDefault="00891449" w:rsidP="009C214E">
      <w:pPr>
        <w:pStyle w:val="FootnoteText"/>
        <w:numPr>
          <w:ilvl w:val="0"/>
          <w:numId w:val="29"/>
        </w:numPr>
        <w:ind w:left="270" w:hanging="270"/>
        <w:outlineLvl w:val="0"/>
        <w:rPr>
          <w:color w:val="000000"/>
          <w:sz w:val="22"/>
          <w:szCs w:val="22"/>
        </w:rPr>
      </w:pPr>
      <w:r w:rsidRPr="00EA7512">
        <w:rPr>
          <w:color w:val="000000"/>
          <w:sz w:val="22"/>
          <w:szCs w:val="22"/>
        </w:rPr>
        <w:t xml:space="preserve">FDA approval was based on a Phase II study </w:t>
      </w:r>
      <w:r>
        <w:rPr>
          <w:color w:val="000000"/>
          <w:sz w:val="22"/>
          <w:szCs w:val="22"/>
        </w:rPr>
        <w:t xml:space="preserve">that </w:t>
      </w:r>
      <w:r w:rsidRPr="00EA7512">
        <w:rPr>
          <w:color w:val="000000"/>
          <w:sz w:val="22"/>
          <w:szCs w:val="22"/>
        </w:rPr>
        <w:t xml:space="preserve">enrolled 104 patients with either metastatic basal cell carcinoma (BCC) or locally advanced BCC. Patients received vismodegib 150mg once daily until disease progression or unacceptable toxicity. </w:t>
      </w:r>
    </w:p>
    <w:p w:rsidR="009C214E" w:rsidRDefault="00891449" w:rsidP="009C214E">
      <w:pPr>
        <w:pStyle w:val="FootnoteText"/>
        <w:ind w:left="720"/>
        <w:outlineLvl w:val="0"/>
        <w:rPr>
          <w:color w:val="000000"/>
          <w:sz w:val="22"/>
          <w:szCs w:val="22"/>
        </w:rPr>
      </w:pPr>
      <w:r w:rsidRPr="00EA7512">
        <w:rPr>
          <w:color w:val="000000"/>
          <w:sz w:val="22"/>
          <w:szCs w:val="22"/>
        </w:rPr>
        <w:t xml:space="preserve"> </w:t>
      </w:r>
    </w:p>
    <w:p w:rsidR="009C214E" w:rsidRPr="008819BA" w:rsidRDefault="00891449" w:rsidP="009C214E">
      <w:pPr>
        <w:pStyle w:val="FootnoteText"/>
        <w:numPr>
          <w:ilvl w:val="0"/>
          <w:numId w:val="29"/>
        </w:numPr>
        <w:ind w:left="270" w:hanging="270"/>
        <w:outlineLvl w:val="0"/>
        <w:rPr>
          <w:color w:val="000000"/>
          <w:sz w:val="22"/>
          <w:szCs w:val="22"/>
        </w:rPr>
      </w:pPr>
      <w:r w:rsidRPr="00C1364F">
        <w:rPr>
          <w:color w:val="000000"/>
          <w:sz w:val="22"/>
          <w:szCs w:val="22"/>
        </w:rPr>
        <w:t>A p</w:t>
      </w:r>
      <w:r w:rsidR="00747D28">
        <w:rPr>
          <w:color w:val="000000"/>
          <w:sz w:val="22"/>
          <w:szCs w:val="22"/>
        </w:rPr>
        <w:t>artial response was seen in 30</w:t>
      </w:r>
      <w:r w:rsidRPr="00C1364F">
        <w:rPr>
          <w:color w:val="000000"/>
          <w:sz w:val="22"/>
          <w:szCs w:val="22"/>
        </w:rPr>
        <w:t>% of the metastatic BCC patients. In the locally advanced patients, 20.6 % achieved a complete response and 22.2% achieved a partial response (Overa</w:t>
      </w:r>
      <w:r w:rsidR="00747D28">
        <w:rPr>
          <w:color w:val="000000"/>
          <w:sz w:val="22"/>
          <w:szCs w:val="22"/>
        </w:rPr>
        <w:t>ll response rate was 43</w:t>
      </w:r>
      <w:r w:rsidRPr="00C1364F">
        <w:rPr>
          <w:color w:val="000000"/>
          <w:sz w:val="22"/>
          <w:szCs w:val="22"/>
        </w:rPr>
        <w:t>%)</w:t>
      </w:r>
      <w:r w:rsidR="00747D28">
        <w:rPr>
          <w:color w:val="000000"/>
          <w:sz w:val="22"/>
          <w:szCs w:val="22"/>
        </w:rPr>
        <w:t>.</w:t>
      </w:r>
    </w:p>
    <w:p w:rsidR="009C214E" w:rsidRPr="00EA7512" w:rsidRDefault="009C214E" w:rsidP="009C214E">
      <w:pPr>
        <w:pStyle w:val="FootnoteText"/>
        <w:outlineLvl w:val="0"/>
        <w:rPr>
          <w:color w:val="000000"/>
          <w:sz w:val="22"/>
          <w:szCs w:val="22"/>
        </w:rPr>
      </w:pPr>
    </w:p>
    <w:p w:rsidR="009C214E" w:rsidRPr="00EA7512" w:rsidRDefault="00891449" w:rsidP="009C214E">
      <w:pPr>
        <w:pStyle w:val="FootnoteText"/>
        <w:outlineLvl w:val="0"/>
        <w:rPr>
          <w:color w:val="000000"/>
          <w:sz w:val="22"/>
          <w:szCs w:val="22"/>
        </w:rPr>
      </w:pPr>
      <w:r>
        <w:rPr>
          <w:color w:val="000000"/>
          <w:sz w:val="22"/>
          <w:szCs w:val="22"/>
        </w:rPr>
        <w:t xml:space="preserve">Duration of therapy in the trial was approximately 10 months. </w:t>
      </w:r>
    </w:p>
    <w:p w:rsidR="009C214E" w:rsidRPr="00EA7512" w:rsidRDefault="009C214E" w:rsidP="009C214E">
      <w:pPr>
        <w:pStyle w:val="FootnoteText"/>
        <w:outlineLvl w:val="0"/>
        <w:rPr>
          <w:b/>
          <w:color w:val="000000"/>
          <w:sz w:val="22"/>
          <w:szCs w:val="22"/>
        </w:rPr>
      </w:pPr>
    </w:p>
    <w:p w:rsidR="009C214E" w:rsidRPr="00EA7512" w:rsidRDefault="00891449" w:rsidP="009C214E">
      <w:pPr>
        <w:pStyle w:val="FootnoteText"/>
        <w:outlineLvl w:val="0"/>
        <w:rPr>
          <w:b/>
          <w:color w:val="000000"/>
          <w:sz w:val="22"/>
          <w:szCs w:val="22"/>
        </w:rPr>
      </w:pPr>
      <w:r w:rsidRPr="00EA7512">
        <w:rPr>
          <w:b/>
          <w:color w:val="000000"/>
          <w:sz w:val="22"/>
          <w:szCs w:val="22"/>
        </w:rPr>
        <w:t xml:space="preserve">Safety: </w:t>
      </w:r>
    </w:p>
    <w:p w:rsidR="009C214E" w:rsidRPr="00EA7512" w:rsidRDefault="009C214E" w:rsidP="009C214E">
      <w:pPr>
        <w:pStyle w:val="FootnoteText"/>
        <w:outlineLvl w:val="0"/>
        <w:rPr>
          <w:b/>
          <w:color w:val="000000"/>
          <w:sz w:val="22"/>
          <w:szCs w:val="22"/>
        </w:rPr>
      </w:pPr>
    </w:p>
    <w:p w:rsidR="009C214E" w:rsidRDefault="00891449" w:rsidP="009C214E">
      <w:pPr>
        <w:pStyle w:val="FootnoteText"/>
        <w:numPr>
          <w:ilvl w:val="0"/>
          <w:numId w:val="30"/>
        </w:numPr>
        <w:ind w:left="270" w:hanging="270"/>
        <w:outlineLvl w:val="0"/>
        <w:rPr>
          <w:color w:val="000000"/>
          <w:sz w:val="22"/>
          <w:szCs w:val="22"/>
        </w:rPr>
      </w:pPr>
      <w:r w:rsidRPr="00EA7512">
        <w:rPr>
          <w:color w:val="000000"/>
          <w:sz w:val="22"/>
          <w:szCs w:val="22"/>
        </w:rPr>
        <w:t xml:space="preserve">Most common adverse events seen include muscle spasms (71.17%), alopecia (63.8%), fatigue (39.9%), </w:t>
      </w:r>
      <w:r>
        <w:rPr>
          <w:color w:val="000000"/>
          <w:sz w:val="22"/>
          <w:szCs w:val="22"/>
        </w:rPr>
        <w:t>dysgeu</w:t>
      </w:r>
      <w:r w:rsidRPr="00EA7512">
        <w:rPr>
          <w:color w:val="000000"/>
          <w:sz w:val="22"/>
          <w:szCs w:val="22"/>
        </w:rPr>
        <w:t>s</w:t>
      </w:r>
      <w:r>
        <w:rPr>
          <w:color w:val="000000"/>
          <w:sz w:val="22"/>
          <w:szCs w:val="22"/>
        </w:rPr>
        <w:t>i</w:t>
      </w:r>
      <w:r w:rsidRPr="00EA7512">
        <w:rPr>
          <w:color w:val="000000"/>
          <w:sz w:val="22"/>
          <w:szCs w:val="22"/>
        </w:rPr>
        <w:t>a (55.1%) and subsequent weight loss (44.9%) and decreased appetite (25.4%).</w:t>
      </w:r>
    </w:p>
    <w:p w:rsidR="009C214E" w:rsidRDefault="009C214E" w:rsidP="009C214E">
      <w:pPr>
        <w:pStyle w:val="FootnoteText"/>
        <w:outlineLvl w:val="0"/>
        <w:rPr>
          <w:color w:val="000000"/>
          <w:sz w:val="22"/>
          <w:szCs w:val="22"/>
        </w:rPr>
      </w:pPr>
    </w:p>
    <w:p w:rsidR="009C214E" w:rsidRDefault="00891449" w:rsidP="009C214E">
      <w:pPr>
        <w:pStyle w:val="FootnoteText"/>
        <w:numPr>
          <w:ilvl w:val="0"/>
          <w:numId w:val="30"/>
        </w:numPr>
        <w:ind w:left="270" w:hanging="270"/>
        <w:outlineLvl w:val="0"/>
        <w:rPr>
          <w:color w:val="000000"/>
          <w:sz w:val="22"/>
          <w:szCs w:val="22"/>
        </w:rPr>
      </w:pPr>
      <w:r>
        <w:rPr>
          <w:color w:val="000000"/>
          <w:sz w:val="22"/>
          <w:szCs w:val="22"/>
        </w:rPr>
        <w:t xml:space="preserve">There were seven fatal events in the treatment group which included hypovolemic shock, </w:t>
      </w:r>
      <w:r w:rsidRPr="00EA7512">
        <w:rPr>
          <w:color w:val="000000"/>
          <w:sz w:val="22"/>
          <w:szCs w:val="22"/>
        </w:rPr>
        <w:t>MI</w:t>
      </w:r>
      <w:r>
        <w:rPr>
          <w:color w:val="000000"/>
          <w:sz w:val="22"/>
          <w:szCs w:val="22"/>
        </w:rPr>
        <w:t xml:space="preserve">, meningeal disease, and ischemic stroke. Relationship between vismodegib and the adverse events were unknown. </w:t>
      </w:r>
    </w:p>
    <w:p w:rsidR="009C214E" w:rsidRDefault="009C214E" w:rsidP="009C214E">
      <w:pPr>
        <w:pStyle w:val="FootnoteText"/>
        <w:outlineLvl w:val="0"/>
        <w:rPr>
          <w:color w:val="000000"/>
          <w:sz w:val="22"/>
          <w:szCs w:val="22"/>
        </w:rPr>
      </w:pPr>
    </w:p>
    <w:p w:rsidR="009C214E" w:rsidRDefault="00891449" w:rsidP="009C214E">
      <w:pPr>
        <w:pStyle w:val="FootnoteText"/>
        <w:outlineLvl w:val="0"/>
        <w:rPr>
          <w:color w:val="000000"/>
          <w:sz w:val="22"/>
          <w:szCs w:val="22"/>
        </w:rPr>
      </w:pPr>
      <w:r>
        <w:rPr>
          <w:color w:val="000000"/>
          <w:sz w:val="22"/>
          <w:szCs w:val="22"/>
        </w:rPr>
        <w:t xml:space="preserve">More information about vismodegib in different populations is needed, such as patients with renal or hepatic impairment and geriatric patients. As BCC is prevalent in geriatric population, more data on toxicity and pharmacokinetics is needed. </w:t>
      </w:r>
    </w:p>
    <w:p w:rsidR="009C214E" w:rsidRDefault="009C214E" w:rsidP="009C214E">
      <w:pPr>
        <w:pStyle w:val="FootnoteText"/>
        <w:outlineLvl w:val="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56"/>
        <w:gridCol w:w="5000"/>
      </w:tblGrid>
      <w:tr w:rsidR="009C214E">
        <w:tc>
          <w:tcPr>
            <w:tcW w:w="4158" w:type="dxa"/>
            <w:shd w:val="pct12" w:color="auto" w:fill="auto"/>
          </w:tcPr>
          <w:p w:rsidR="009C214E" w:rsidRPr="00C269F9" w:rsidRDefault="00891449" w:rsidP="009C214E">
            <w:pPr>
              <w:rPr>
                <w:b/>
                <w:sz w:val="20"/>
              </w:rPr>
            </w:pPr>
            <w:r w:rsidRPr="00C269F9">
              <w:rPr>
                <w:b/>
                <w:sz w:val="20"/>
              </w:rPr>
              <w:t>Outcome in clinically significant area</w:t>
            </w:r>
          </w:p>
        </w:tc>
        <w:tc>
          <w:tcPr>
            <w:tcW w:w="5418" w:type="dxa"/>
          </w:tcPr>
          <w:p w:rsidR="009C214E" w:rsidRPr="00C269F9" w:rsidRDefault="00891449" w:rsidP="009C214E">
            <w:pPr>
              <w:rPr>
                <w:sz w:val="20"/>
              </w:rPr>
            </w:pPr>
            <w:r>
              <w:rPr>
                <w:sz w:val="20"/>
              </w:rPr>
              <w:t>ORR and meaningful duration of response where there is no standard of care</w:t>
            </w:r>
          </w:p>
        </w:tc>
      </w:tr>
      <w:tr w:rsidR="009C214E">
        <w:tc>
          <w:tcPr>
            <w:tcW w:w="4158" w:type="dxa"/>
            <w:shd w:val="pct12" w:color="auto" w:fill="auto"/>
          </w:tcPr>
          <w:p w:rsidR="009C214E" w:rsidRPr="00C269F9" w:rsidRDefault="00891449" w:rsidP="009C214E">
            <w:pPr>
              <w:rPr>
                <w:b/>
                <w:sz w:val="20"/>
              </w:rPr>
            </w:pPr>
            <w:r w:rsidRPr="00C269F9">
              <w:rPr>
                <w:b/>
                <w:sz w:val="20"/>
              </w:rPr>
              <w:t>Effect Size</w:t>
            </w:r>
          </w:p>
        </w:tc>
        <w:tc>
          <w:tcPr>
            <w:tcW w:w="5418" w:type="dxa"/>
          </w:tcPr>
          <w:p w:rsidR="009C214E" w:rsidRPr="00C269F9" w:rsidRDefault="00AD25BB" w:rsidP="009C214E">
            <w:pPr>
              <w:rPr>
                <w:sz w:val="20"/>
              </w:rPr>
            </w:pPr>
            <w:r>
              <w:rPr>
                <w:sz w:val="20"/>
              </w:rPr>
              <w:t>N/A</w:t>
            </w:r>
          </w:p>
        </w:tc>
      </w:tr>
      <w:tr w:rsidR="009C214E">
        <w:tc>
          <w:tcPr>
            <w:tcW w:w="4158" w:type="dxa"/>
            <w:shd w:val="pct12" w:color="auto" w:fill="auto"/>
          </w:tcPr>
          <w:p w:rsidR="009C214E" w:rsidRPr="00C269F9" w:rsidRDefault="00891449" w:rsidP="009C214E">
            <w:pPr>
              <w:rPr>
                <w:b/>
                <w:sz w:val="20"/>
              </w:rPr>
            </w:pPr>
            <w:r w:rsidRPr="00C269F9">
              <w:rPr>
                <w:b/>
                <w:sz w:val="20"/>
              </w:rPr>
              <w:t>Potential Harms</w:t>
            </w:r>
          </w:p>
        </w:tc>
        <w:tc>
          <w:tcPr>
            <w:tcW w:w="5418" w:type="dxa"/>
          </w:tcPr>
          <w:p w:rsidR="009C214E" w:rsidRPr="00C269F9" w:rsidRDefault="00891449" w:rsidP="009C214E">
            <w:pPr>
              <w:rPr>
                <w:sz w:val="20"/>
              </w:rPr>
            </w:pPr>
            <w:r>
              <w:rPr>
                <w:sz w:val="20"/>
              </w:rPr>
              <w:t>Risk of Grade 3 or 4 toxicity was experienced by &lt;20% of the study population</w:t>
            </w:r>
          </w:p>
        </w:tc>
      </w:tr>
      <w:tr w:rsidR="009C214E">
        <w:tc>
          <w:tcPr>
            <w:tcW w:w="4158" w:type="dxa"/>
            <w:shd w:val="pct12" w:color="auto" w:fill="auto"/>
          </w:tcPr>
          <w:p w:rsidR="009C214E" w:rsidRPr="00C269F9" w:rsidRDefault="00891449" w:rsidP="009C214E">
            <w:pPr>
              <w:rPr>
                <w:b/>
                <w:sz w:val="20"/>
              </w:rPr>
            </w:pPr>
            <w:r w:rsidRPr="00C269F9">
              <w:rPr>
                <w:b/>
                <w:sz w:val="20"/>
              </w:rPr>
              <w:t>Net Clinical Benefit</w:t>
            </w:r>
          </w:p>
        </w:tc>
        <w:tc>
          <w:tcPr>
            <w:tcW w:w="5418" w:type="dxa"/>
          </w:tcPr>
          <w:p w:rsidR="009C214E" w:rsidRPr="00C269F9" w:rsidRDefault="00891449" w:rsidP="009C214E">
            <w:pPr>
              <w:rPr>
                <w:sz w:val="20"/>
              </w:rPr>
            </w:pPr>
            <w:r>
              <w:rPr>
                <w:sz w:val="20"/>
              </w:rPr>
              <w:t>Minimal</w:t>
            </w:r>
            <w:r w:rsidR="003303E8">
              <w:rPr>
                <w:sz w:val="20"/>
              </w:rPr>
              <w:t xml:space="preserve">: </w:t>
            </w:r>
            <w:r>
              <w:rPr>
                <w:sz w:val="20"/>
              </w:rPr>
              <w:t>Low chance of benefit and low risk of harm</w:t>
            </w:r>
          </w:p>
        </w:tc>
      </w:tr>
    </w:tbl>
    <w:p w:rsidR="009C214E" w:rsidRPr="004E4CE2" w:rsidRDefault="009C214E" w:rsidP="009C214E">
      <w:pPr>
        <w:pStyle w:val="FootnoteText"/>
        <w:outlineLvl w:val="0"/>
        <w:rPr>
          <w:rFonts w:ascii="Arial" w:hAnsi="Arial"/>
          <w:bCs/>
          <w:color w:val="000000"/>
          <w:sz w:val="22"/>
        </w:rPr>
      </w:pPr>
    </w:p>
    <w:p w:rsidR="009C214E" w:rsidRPr="00BF021C" w:rsidRDefault="009C214E" w:rsidP="009C214E">
      <w:pPr>
        <w:pStyle w:val="FootnoteText"/>
        <w:outlineLvl w:val="0"/>
        <w:rPr>
          <w:b/>
          <w:color w:val="000000"/>
        </w:rPr>
      </w:pPr>
    </w:p>
    <w:bookmarkEnd w:id="0"/>
    <w:p w:rsidR="009C214E" w:rsidRDefault="009C214E" w:rsidP="009C214E">
      <w:pPr>
        <w:pStyle w:val="StyleHeading1Black"/>
      </w:pPr>
    </w:p>
    <w:p w:rsidR="009C214E" w:rsidRDefault="00891449" w:rsidP="009C214E">
      <w:pPr>
        <w:pStyle w:val="StyleHeading1Black"/>
      </w:pPr>
      <w:r>
        <w:t>Introduction</w:t>
      </w:r>
    </w:p>
    <w:p w:rsidR="009C214E" w:rsidRPr="009B598F" w:rsidRDefault="00891449" w:rsidP="009C2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B598F">
        <w:t>Basal cell and squamous cell skin cancers</w:t>
      </w:r>
      <w:r>
        <w:t xml:space="preserve"> are</w:t>
      </w:r>
      <w:r w:rsidRPr="009B598F">
        <w:t xml:space="preserve"> collectively known as non- melanoma skin cancers (NMSC). They are the most common cancer in the United States. </w:t>
      </w:r>
      <w:r>
        <w:t xml:space="preserve"> </w:t>
      </w:r>
      <w:r w:rsidRPr="009B598F">
        <w:t xml:space="preserve">The incidence of this common malignancy is rising rapidly. It is estimated that more than 2.1 million new patients were treated for </w:t>
      </w:r>
      <w:proofErr w:type="spellStart"/>
      <w:r w:rsidRPr="009B598F">
        <w:t>nonmelanoma</w:t>
      </w:r>
      <w:proofErr w:type="spellEnd"/>
      <w:r w:rsidRPr="009B598F">
        <w:t xml:space="preserve"> skin cancer in 2006 in the US</w:t>
      </w:r>
      <w:r w:rsidRPr="00251EC2">
        <w:rPr>
          <w:vertAlign w:val="superscript"/>
        </w:rPr>
        <w:t>1</w:t>
      </w:r>
      <w:r w:rsidRPr="009B598F">
        <w:t xml:space="preserve">. Basal cell carcinomas (BCC) are about four to five times more common than squamous cell carcinomas (SCC). </w:t>
      </w:r>
      <w:r>
        <w:t xml:space="preserve"> </w:t>
      </w:r>
      <w:r w:rsidRPr="009B598F">
        <w:t xml:space="preserve">Although rarely metastatic, BCC and SCC can produce substantial local destruction along with disfigurement and may involve extensive areas of soft tissue, cartilage, and bone. </w:t>
      </w:r>
    </w:p>
    <w:p w:rsidR="009C214E" w:rsidRDefault="009C214E" w:rsidP="009C2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C214E" w:rsidRDefault="00891449" w:rsidP="009C214E">
      <w:r w:rsidRPr="009B598F">
        <w:t xml:space="preserve">BCC and SCC are most commonly treated with surgery or radiation. </w:t>
      </w:r>
      <w:r w:rsidR="00780881">
        <w:t xml:space="preserve"> </w:t>
      </w:r>
      <w:r w:rsidRPr="009B598F">
        <w:t xml:space="preserve">In an evidence-based review of the literature, the best results were obtained with surgery. </w:t>
      </w:r>
      <w:r>
        <w:t xml:space="preserve"> </w:t>
      </w:r>
      <w:r w:rsidRPr="009B598F">
        <w:t>However, consideration of function, cosmetic outcome and patient preference may lead to the choice of radiation therapy as primary treatment in order to achieve optimal overall results.  Superficial therapie</w:t>
      </w:r>
      <w:r>
        <w:t>s</w:t>
      </w:r>
      <w:r w:rsidR="00780881">
        <w:t>,</w:t>
      </w:r>
      <w:r>
        <w:t xml:space="preserve"> such as </w:t>
      </w:r>
      <w:r w:rsidRPr="009B598F">
        <w:t>topical treatment with 5-flurouracil or imiquimod, photo</w:t>
      </w:r>
      <w:r w:rsidR="00780881">
        <w:t>dynamic therapy and cryotherapy,</w:t>
      </w:r>
      <w:r w:rsidRPr="009B598F">
        <w:t xml:space="preserve"> are</w:t>
      </w:r>
      <w:r>
        <w:t xml:space="preserve"> options</w:t>
      </w:r>
      <w:r w:rsidR="00BF649F">
        <w:t xml:space="preserve"> reserved for localized disease</w:t>
      </w:r>
      <w:r>
        <w:t>.</w:t>
      </w:r>
      <w:r w:rsidRPr="00E21170">
        <w:t xml:space="preserve"> </w:t>
      </w:r>
      <w:r w:rsidR="00BF649F">
        <w:t xml:space="preserve"> </w:t>
      </w:r>
      <w:r>
        <w:t xml:space="preserve">Therapy of BCC depends upon the location and extent of the tumor and generally consists of wide surgical excision alone for local </w:t>
      </w:r>
      <w:r w:rsidR="00850FD9">
        <w:t>recurrence</w:t>
      </w:r>
      <w:r>
        <w:t xml:space="preserve"> or in combination with chemotherapy and radiation therapy for distant metastasis. The main aim of the surgery is complete excision of the tumor with clear margins.  The recurrence rate following surgical excision varies between 5% for complete excision and 30% for excisions with positive margins. </w:t>
      </w:r>
      <w:r w:rsidR="00850FD9">
        <w:t xml:space="preserve"> </w:t>
      </w:r>
      <w:proofErr w:type="spellStart"/>
      <w:r>
        <w:t>Mohs</w:t>
      </w:r>
      <w:proofErr w:type="spellEnd"/>
      <w:r>
        <w:t xml:space="preserve">’ micrographic surgery is the treatment of choice for </w:t>
      </w:r>
      <w:proofErr w:type="spellStart"/>
      <w:r>
        <w:t>histopathologically</w:t>
      </w:r>
      <w:proofErr w:type="spellEnd"/>
      <w:r>
        <w:t xml:space="preserve"> aggressive BCC subtypes owing to low recurrence rate. Several chemotherapeutic agents including 5-FU, cisplatin, vincristine, etoposide, bleomycin, cyclophosphamide, methotrexate, and doxorubicin have been used alone or in combination</w:t>
      </w:r>
      <w:r w:rsidR="00AA27E4">
        <w:t xml:space="preserve"> as detailed in case reports</w:t>
      </w:r>
      <w:r>
        <w:t xml:space="preserve">.  But no standard of therapy currently exists for metastatic disease. </w:t>
      </w:r>
    </w:p>
    <w:p w:rsidR="009C214E" w:rsidRPr="009B598F" w:rsidRDefault="009C214E" w:rsidP="009C214E"/>
    <w:p w:rsidR="009C214E" w:rsidRDefault="00891449" w:rsidP="009C2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Metastatic </w:t>
      </w:r>
      <w:r w:rsidR="000428A1">
        <w:t>d</w:t>
      </w:r>
      <w:r>
        <w:t xml:space="preserve">isease affects males two times more often than females. Factors that play a role in predicting metastases include the age at presentation, the site and size of lesion, depth of invasion, duration and recurrence of disease, incomplete surgical resection, multiple lesions, and infiltrative histological pattern. The incidence of metastasis is 2% for tumors larger than 3cm in diameter; it increases to 25% for tumors larger than 5cm in diameter and 50% for tumors larger than 10cm in diameter. </w:t>
      </w:r>
    </w:p>
    <w:p w:rsidR="009C214E" w:rsidRDefault="009C214E" w:rsidP="009C2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C214E" w:rsidRDefault="00891449" w:rsidP="009C2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prognosis for </w:t>
      </w:r>
      <w:r w:rsidR="006D74E6" w:rsidRPr="003379B0">
        <w:t>overall survival in</w:t>
      </w:r>
      <w:r w:rsidR="006D74E6">
        <w:t xml:space="preserve"> </w:t>
      </w:r>
      <w:r>
        <w:t>metastatic BCC is poor, estimated at 8 months in the presence of distant metastasis and 3.5 years for patients with disease confined to lymph nodes</w:t>
      </w:r>
    </w:p>
    <w:p w:rsidR="009C214E" w:rsidRDefault="009C214E" w:rsidP="009C2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C214E" w:rsidRDefault="00891449" w:rsidP="009C2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Most common site of metastases include regional lymph nodes (60%), lungs (42%), bones (20%), skin (10%), or to other organs in 2% cases via </w:t>
      </w:r>
      <w:proofErr w:type="spellStart"/>
      <w:r>
        <w:t>hematogenous</w:t>
      </w:r>
      <w:proofErr w:type="spellEnd"/>
      <w:r>
        <w:t xml:space="preserve"> spread or direct extension. </w:t>
      </w:r>
    </w:p>
    <w:p w:rsidR="009C214E" w:rsidRDefault="00891449" w:rsidP="009C2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Metastasis to liver, other </w:t>
      </w:r>
      <w:proofErr w:type="gramStart"/>
      <w:r>
        <w:t>viscera,</w:t>
      </w:r>
      <w:proofErr w:type="gramEnd"/>
      <w:r>
        <w:t xml:space="preserve"> or subcutaneous tissues may occur following involvement of lymph nodes, lungs, or bones. Primary tumors may also invade deep into the </w:t>
      </w:r>
      <w:proofErr w:type="spellStart"/>
      <w:r>
        <w:t>extradermal</w:t>
      </w:r>
      <w:proofErr w:type="spellEnd"/>
      <w:r>
        <w:t xml:space="preserve"> structures such as cartilage, skeletal muscles, or bones.</w:t>
      </w:r>
    </w:p>
    <w:p w:rsidR="009C214E" w:rsidRPr="009B598F" w:rsidRDefault="00891449" w:rsidP="009C214E">
      <w:pPr>
        <w:pStyle w:val="NormalWeb"/>
        <w:rPr>
          <w:color w:val="auto"/>
          <w:sz w:val="22"/>
          <w:szCs w:val="22"/>
        </w:rPr>
      </w:pPr>
      <w:r w:rsidRPr="009B598F">
        <w:rPr>
          <w:color w:val="auto"/>
          <w:sz w:val="22"/>
          <w:szCs w:val="22"/>
        </w:rPr>
        <w:t>Recent FDA approval of the new agent vismodegib, a first-in-class Hedgehog pathway inhibitor, provided another option for patients who have exhausted surgical and radiation options for treating advanced BCC.</w:t>
      </w:r>
    </w:p>
    <w:p w:rsidR="009C214E" w:rsidRPr="009B598F" w:rsidRDefault="00891449" w:rsidP="009C214E">
      <w:pPr>
        <w:pStyle w:val="NormalWeb"/>
        <w:rPr>
          <w:color w:val="auto"/>
          <w:sz w:val="22"/>
          <w:szCs w:val="22"/>
        </w:rPr>
      </w:pPr>
      <w:r w:rsidRPr="009B598F">
        <w:rPr>
          <w:color w:val="auto"/>
          <w:sz w:val="22"/>
          <w:szCs w:val="22"/>
        </w:rPr>
        <w:t xml:space="preserve">The purposes of this monograph are to (1) evaluate the available evidence of safety, tolerability, cost and other pharmaceutical issues that would be relevant to evaluating vismodegib for possible addition to the VA National Formulary; (2) define its role in therapy; and (3) identify parameters for its rationale use in the VA. </w:t>
      </w:r>
    </w:p>
    <w:p w:rsidR="009C214E" w:rsidRDefault="00891449" w:rsidP="009C214E">
      <w:pPr>
        <w:pStyle w:val="StyleHeading1Black"/>
      </w:pPr>
      <w:r>
        <w:lastRenderedPageBreak/>
        <w:t>Pharmacology/Pharmacokinetics</w:t>
      </w:r>
    </w:p>
    <w:p w:rsidR="009C214E" w:rsidRPr="009C214E" w:rsidRDefault="00891449" w:rsidP="009C214E">
      <w:pPr>
        <w:pStyle w:val="NormalWeb"/>
        <w:rPr>
          <w:rFonts w:ascii="Times" w:hAnsi="Times" w:cs="Helvetica"/>
          <w:color w:val="auto"/>
          <w:sz w:val="22"/>
          <w:szCs w:val="26"/>
        </w:rPr>
      </w:pPr>
      <w:r w:rsidRPr="009C214E">
        <w:rPr>
          <w:rFonts w:ascii="Times" w:hAnsi="Times" w:cs="Helvetica"/>
          <w:color w:val="auto"/>
          <w:sz w:val="22"/>
          <w:szCs w:val="26"/>
        </w:rPr>
        <w:t xml:space="preserve">Molecular and genetic studies have shown that the majority of BCC contain genetic alterations in the hedgehog signaling pathway, resulting in abnormal pathway activation and uncontrolled proliferation of basal cells.  These alterations can cause loss of function of patched homologue 1 (PTCH1), which normally acts to inhibit the signaling activity of smoothened homologue (SMO), a </w:t>
      </w:r>
      <w:r w:rsidRPr="009B132C">
        <w:rPr>
          <w:rFonts w:ascii="Times" w:hAnsi="Times" w:cs="Helvetica"/>
          <w:color w:val="auto"/>
          <w:sz w:val="22"/>
          <w:szCs w:val="26"/>
        </w:rPr>
        <w:t>seven</w:t>
      </w:r>
      <w:r w:rsidR="005A37BF" w:rsidRPr="009B132C">
        <w:rPr>
          <w:rFonts w:ascii="Times" w:hAnsi="Times" w:cs="Helvetica"/>
          <w:color w:val="auto"/>
          <w:sz w:val="22"/>
          <w:szCs w:val="26"/>
        </w:rPr>
        <w:t>-trans</w:t>
      </w:r>
      <w:r w:rsidRPr="009B132C">
        <w:rPr>
          <w:rFonts w:ascii="Times" w:hAnsi="Times" w:cs="Helvetica"/>
          <w:color w:val="auto"/>
          <w:sz w:val="22"/>
          <w:szCs w:val="26"/>
        </w:rPr>
        <w:t>membrane</w:t>
      </w:r>
      <w:r w:rsidRPr="009C214E">
        <w:rPr>
          <w:rFonts w:ascii="Times" w:hAnsi="Times" w:cs="Helvetica"/>
          <w:color w:val="auto"/>
          <w:sz w:val="22"/>
          <w:szCs w:val="26"/>
        </w:rPr>
        <w:t xml:space="preserve"> protein.  Vismodegib </w:t>
      </w:r>
      <w:r w:rsidRPr="009C214E">
        <w:rPr>
          <w:rFonts w:ascii="Times" w:hAnsi="Times"/>
          <w:color w:val="auto"/>
          <w:sz w:val="22"/>
          <w:szCs w:val="22"/>
        </w:rPr>
        <w:t xml:space="preserve">binds to and inhibits Smoothened (SMO).  </w:t>
      </w:r>
      <w:r w:rsidRPr="009C214E">
        <w:rPr>
          <w:rFonts w:ascii="Times" w:hAnsi="Times" w:cs="Helvetica"/>
          <w:color w:val="auto"/>
          <w:sz w:val="22"/>
          <w:szCs w:val="26"/>
        </w:rPr>
        <w:t xml:space="preserve">Vismodegib acts as a competitive </w:t>
      </w:r>
      <w:hyperlink r:id="rId9" w:history="1">
        <w:r w:rsidRPr="009C214E">
          <w:rPr>
            <w:rFonts w:ascii="Times" w:hAnsi="Times" w:cs="Helvetica"/>
            <w:color w:val="auto"/>
            <w:sz w:val="22"/>
            <w:szCs w:val="26"/>
          </w:rPr>
          <w:t>antagonist</w:t>
        </w:r>
      </w:hyperlink>
      <w:r w:rsidRPr="009C214E">
        <w:rPr>
          <w:rFonts w:ascii="Times" w:hAnsi="Times" w:cs="Helvetica"/>
          <w:color w:val="auto"/>
          <w:sz w:val="22"/>
          <w:szCs w:val="26"/>
        </w:rPr>
        <w:t xml:space="preserve"> of SMO.</w:t>
      </w:r>
      <w:r w:rsidR="00110BA1" w:rsidRPr="009C214E">
        <w:rPr>
          <w:rFonts w:ascii="Times" w:hAnsi="Times" w:cs="Helvetica"/>
          <w:color w:val="auto"/>
          <w:sz w:val="22"/>
          <w:szCs w:val="22"/>
        </w:rPr>
        <w:t xml:space="preserve">  </w:t>
      </w:r>
      <w:r w:rsidRPr="009C214E">
        <w:rPr>
          <w:rFonts w:ascii="Times" w:hAnsi="Times" w:cs="Helvetica"/>
          <w:color w:val="auto"/>
          <w:sz w:val="22"/>
          <w:szCs w:val="26"/>
        </w:rPr>
        <w:t xml:space="preserve">SMO inhibition causes the transcription factors </w:t>
      </w:r>
      <w:hyperlink r:id="rId10" w:history="1">
        <w:r w:rsidRPr="009C214E">
          <w:rPr>
            <w:rFonts w:ascii="Times" w:hAnsi="Times" w:cs="Helvetica"/>
            <w:color w:val="auto"/>
            <w:sz w:val="22"/>
            <w:szCs w:val="26"/>
          </w:rPr>
          <w:t>GLI1</w:t>
        </w:r>
      </w:hyperlink>
      <w:r w:rsidRPr="009C214E">
        <w:rPr>
          <w:rFonts w:ascii="Times" w:hAnsi="Times" w:cs="Helvetica"/>
          <w:color w:val="auto"/>
          <w:sz w:val="22"/>
          <w:szCs w:val="26"/>
        </w:rPr>
        <w:t xml:space="preserve"> and </w:t>
      </w:r>
      <w:hyperlink r:id="rId11" w:history="1">
        <w:r w:rsidRPr="009C214E">
          <w:rPr>
            <w:rFonts w:ascii="Times" w:hAnsi="Times" w:cs="Helvetica"/>
            <w:color w:val="auto"/>
            <w:sz w:val="22"/>
            <w:szCs w:val="26"/>
          </w:rPr>
          <w:t>GLI2</w:t>
        </w:r>
      </w:hyperlink>
      <w:r w:rsidRPr="009C214E">
        <w:rPr>
          <w:rFonts w:ascii="Times" w:hAnsi="Times" w:cs="Helvetica"/>
          <w:color w:val="auto"/>
          <w:sz w:val="22"/>
          <w:szCs w:val="26"/>
        </w:rPr>
        <w:t xml:space="preserve"> to remain inactive, which prevent the expression of tumor mediating genes within the hedgehog pathway</w:t>
      </w:r>
      <w:r w:rsidRPr="009C214E">
        <w:rPr>
          <w:rFonts w:ascii="Times" w:hAnsi="Times" w:cs="Helvetica"/>
          <w:color w:val="auto"/>
          <w:sz w:val="22"/>
          <w:szCs w:val="26"/>
          <w:vertAlign w:val="superscript"/>
        </w:rPr>
        <w:t xml:space="preserve"> 2</w:t>
      </w:r>
      <w:r w:rsidRPr="009C214E">
        <w:rPr>
          <w:rFonts w:ascii="Times" w:hAnsi="Times" w:cs="Helvetica"/>
          <w:color w:val="auto"/>
          <w:sz w:val="22"/>
          <w:szCs w:val="26"/>
        </w:rPr>
        <w:t>.</w:t>
      </w:r>
    </w:p>
    <w:p w:rsidR="009C214E" w:rsidRDefault="00891449" w:rsidP="009C214E">
      <w:pPr>
        <w:spacing w:before="100" w:beforeAutospacing="1" w:after="100" w:afterAutospacing="1"/>
      </w:pPr>
      <w:r w:rsidRPr="009B598F">
        <w:rPr>
          <w:b/>
          <w:iCs/>
        </w:rPr>
        <w:t>Absorption and Distribution</w:t>
      </w:r>
      <w:r w:rsidRPr="009B598F">
        <w:rPr>
          <w:iCs/>
        </w:rPr>
        <w:t xml:space="preserve">: </w:t>
      </w:r>
      <w:r w:rsidRPr="009B598F">
        <w:t xml:space="preserve">Vismodegib is a highly permeable compound with low water solubility. </w:t>
      </w:r>
      <w:r w:rsidR="008F1DF1">
        <w:t xml:space="preserve"> </w:t>
      </w:r>
      <w:r w:rsidRPr="009B598F">
        <w:t xml:space="preserve">The single dose absolute bioavailability of vismodegib is 31.8%. </w:t>
      </w:r>
      <w:r w:rsidR="00482E9F">
        <w:t xml:space="preserve"> </w:t>
      </w:r>
      <w:r w:rsidRPr="009B598F">
        <w:t xml:space="preserve">Absorption is saturable as evidenced by the lack of dose proportional increase in exposure after a single dose of 270 mg or 540 mg vismodegib. </w:t>
      </w:r>
      <w:r w:rsidR="00482E9F">
        <w:t xml:space="preserve"> </w:t>
      </w:r>
      <w:r w:rsidRPr="009B598F">
        <w:t>Vismodegib capsule may be taken without regard to meals because the systemic exposure of vismodegib at steady state is not affected by food.  The volume of distribution of vismodegib ranges from 16.4 to 26.6 L and plasma protein binding in patients is greater than 99%</w:t>
      </w:r>
      <w:r w:rsidRPr="00C1364F">
        <w:rPr>
          <w:vertAlign w:val="superscript"/>
        </w:rPr>
        <w:t>3</w:t>
      </w:r>
      <w:r w:rsidRPr="009B598F">
        <w:t xml:space="preserve">. </w:t>
      </w:r>
    </w:p>
    <w:p w:rsidR="009C214E" w:rsidRDefault="00891449" w:rsidP="009C214E">
      <w:pPr>
        <w:spacing w:before="100" w:beforeAutospacing="1" w:after="100" w:afterAutospacing="1"/>
        <w:rPr>
          <w:rFonts w:ascii="Sabon-Roman" w:hAnsi="Sabon-Roman" w:cs="Sabon-Roman"/>
          <w:b/>
          <w:szCs w:val="22"/>
        </w:rPr>
      </w:pPr>
      <w:r w:rsidRPr="000715C5">
        <w:rPr>
          <w:b/>
          <w:iCs/>
          <w:szCs w:val="22"/>
        </w:rPr>
        <w:t>Metabolism:</w:t>
      </w:r>
      <w:r>
        <w:rPr>
          <w:b/>
          <w:iCs/>
          <w:szCs w:val="22"/>
        </w:rPr>
        <w:t xml:space="preserve"> </w:t>
      </w:r>
      <w:r w:rsidRPr="000715C5">
        <w:rPr>
          <w:szCs w:val="22"/>
        </w:rPr>
        <w:t xml:space="preserve">Greater than 98% of the total circulating drug-related components are the parent drug. Metabolic pathways of vismodegib in humans include oxidation, glucuronidation, and pyridine ring cleavage by CYP2C9 and CYP3A4/5. </w:t>
      </w:r>
      <w:r w:rsidR="007D1830">
        <w:rPr>
          <w:szCs w:val="22"/>
        </w:rPr>
        <w:t xml:space="preserve"> </w:t>
      </w:r>
      <w:r w:rsidRPr="000715C5">
        <w:rPr>
          <w:rFonts w:ascii="Sabon-Roman" w:hAnsi="Sabon-Roman" w:cs="Sabon-Roman"/>
          <w:szCs w:val="22"/>
        </w:rPr>
        <w:t xml:space="preserve">However, drug exposure is not expected to be altered because patients were treated concomitantly with CYP3A4 inhibitors and inducers in trials with little change in exposure. </w:t>
      </w:r>
      <w:r w:rsidR="007D1830">
        <w:rPr>
          <w:rFonts w:ascii="Sabon-Roman" w:hAnsi="Sabon-Roman" w:cs="Sabon-Roman"/>
          <w:szCs w:val="22"/>
        </w:rPr>
        <w:t xml:space="preserve"> </w:t>
      </w:r>
      <w:r w:rsidRPr="000715C5">
        <w:rPr>
          <w:rFonts w:ascii="Sabon-Roman" w:hAnsi="Sabon-Roman" w:cs="Sabon-Roman"/>
          <w:szCs w:val="22"/>
        </w:rPr>
        <w:t xml:space="preserve">Results of in vitro studies suggest that vismodegib is an inhibitor of CYP2C8, CYP2C9, CYP2C19, and the BRCP (breast cancer resistance protein) transporter. </w:t>
      </w:r>
      <w:r w:rsidR="007D1830">
        <w:rPr>
          <w:rFonts w:ascii="Sabon-Roman" w:hAnsi="Sabon-Roman" w:cs="Sabon-Roman"/>
          <w:szCs w:val="22"/>
        </w:rPr>
        <w:t xml:space="preserve"> </w:t>
      </w:r>
      <w:r w:rsidRPr="000715C5">
        <w:rPr>
          <w:rFonts w:ascii="Sabon-Roman" w:hAnsi="Sabon-Roman" w:cs="Sabon-Roman"/>
          <w:szCs w:val="22"/>
        </w:rPr>
        <w:t xml:space="preserve">Rosiglitazone, a CYP2C8 substrate, was given with vismodegib at steady state with no clinically significant change in </w:t>
      </w:r>
      <w:r w:rsidR="00FC24E6">
        <w:rPr>
          <w:rFonts w:ascii="Sabon-Roman" w:hAnsi="Sabon-Roman" w:cs="Sabon-Roman"/>
          <w:szCs w:val="22"/>
        </w:rPr>
        <w:t>rosiglitazone exposure</w:t>
      </w:r>
      <w:r w:rsidRPr="000715C5">
        <w:rPr>
          <w:rFonts w:ascii="Sabon-Roman" w:hAnsi="Sabon-Roman" w:cs="Sabon-Roman"/>
          <w:szCs w:val="22"/>
        </w:rPr>
        <w:t>, suggesting that there is no clinically significant inhibition of CYP2C8</w:t>
      </w:r>
      <w:r w:rsidR="00FC24E6">
        <w:rPr>
          <w:rFonts w:ascii="Sabon-Roman" w:hAnsi="Sabon-Roman" w:cs="Sabon-Roman"/>
          <w:szCs w:val="22"/>
        </w:rPr>
        <w:t xml:space="preserve"> by vismodegib</w:t>
      </w:r>
      <w:r w:rsidRPr="000715C5">
        <w:rPr>
          <w:rFonts w:ascii="Sabon-Roman" w:hAnsi="Sabon-Roman" w:cs="Sabon-Roman"/>
          <w:szCs w:val="22"/>
        </w:rPr>
        <w:t xml:space="preserve">. </w:t>
      </w:r>
      <w:r w:rsidR="007D1830">
        <w:rPr>
          <w:rFonts w:ascii="Sabon-Roman" w:hAnsi="Sabon-Roman" w:cs="Sabon-Roman"/>
          <w:szCs w:val="22"/>
        </w:rPr>
        <w:t xml:space="preserve"> </w:t>
      </w:r>
      <w:r w:rsidRPr="000715C5">
        <w:rPr>
          <w:rFonts w:ascii="Sabon-Roman" w:hAnsi="Sabon-Roman" w:cs="Sabon-Roman"/>
          <w:szCs w:val="22"/>
        </w:rPr>
        <w:t xml:space="preserve">Vismodegib was also found in vitro to be a substrate of the </w:t>
      </w:r>
      <w:r w:rsidR="000E6497">
        <w:rPr>
          <w:rFonts w:ascii="Sabon-Roman" w:hAnsi="Sabon-Roman" w:cs="Sabon-Roman"/>
          <w:szCs w:val="22"/>
        </w:rPr>
        <w:t xml:space="preserve">efflux </w:t>
      </w:r>
      <w:r w:rsidRPr="000715C5">
        <w:rPr>
          <w:rFonts w:ascii="Sabon-Roman" w:hAnsi="Sabon-Roman" w:cs="Sabon-Roman"/>
          <w:szCs w:val="22"/>
        </w:rPr>
        <w:t xml:space="preserve">p-glycoprotein transporter. </w:t>
      </w:r>
      <w:r w:rsidR="007D1830">
        <w:rPr>
          <w:rFonts w:ascii="Sabon-Roman" w:hAnsi="Sabon-Roman" w:cs="Sabon-Roman"/>
          <w:szCs w:val="22"/>
        </w:rPr>
        <w:t xml:space="preserve"> </w:t>
      </w:r>
      <w:r w:rsidRPr="000715C5">
        <w:rPr>
          <w:rFonts w:ascii="Sabon-Roman" w:hAnsi="Sabon-Roman" w:cs="Sabon-Roman"/>
          <w:szCs w:val="22"/>
        </w:rPr>
        <w:t>The manufacturer cautions that systemic exposure and the subsequent adverse effects may be increased when given concomitantly with drugs that inhibit</w:t>
      </w:r>
      <w:r>
        <w:rPr>
          <w:rFonts w:ascii="Sabon-Roman" w:hAnsi="Sabon-Roman" w:cs="Sabon-Roman"/>
          <w:szCs w:val="22"/>
        </w:rPr>
        <w:t xml:space="preserve"> </w:t>
      </w:r>
      <w:r w:rsidRPr="000715C5">
        <w:rPr>
          <w:rFonts w:ascii="Sabon-Roman" w:hAnsi="Sabon-Roman" w:cs="Sabon-Roman"/>
          <w:szCs w:val="22"/>
        </w:rPr>
        <w:t>p-glycoprotein, such as clarithromycin, erythromycin, or azithromycin</w:t>
      </w:r>
      <w:r w:rsidRPr="00C1364F">
        <w:rPr>
          <w:rFonts w:ascii="Sabon-Roman" w:hAnsi="Sabon-Roman" w:cs="Sabon-Roman"/>
          <w:szCs w:val="22"/>
          <w:vertAlign w:val="superscript"/>
        </w:rPr>
        <w:t>3</w:t>
      </w:r>
      <w:r w:rsidRPr="000715C5">
        <w:rPr>
          <w:rFonts w:ascii="Sabon-Roman" w:hAnsi="Sabon-Roman" w:cs="Sabon-Roman"/>
          <w:szCs w:val="22"/>
        </w:rPr>
        <w:t>.</w:t>
      </w:r>
    </w:p>
    <w:p w:rsidR="009C214E" w:rsidRPr="000715C5" w:rsidRDefault="00891449" w:rsidP="00F96DBF">
      <w:pPr>
        <w:autoSpaceDE w:val="0"/>
        <w:autoSpaceDN w:val="0"/>
        <w:adjustRightInd w:val="0"/>
        <w:outlineLvl w:val="0"/>
        <w:rPr>
          <w:rFonts w:ascii="Sabon-Roman" w:hAnsi="Sabon-Roman" w:cs="Sabon-Roman"/>
          <w:szCs w:val="22"/>
        </w:rPr>
      </w:pPr>
      <w:r w:rsidRPr="000715C5">
        <w:rPr>
          <w:rFonts w:ascii="Sabon-Roman" w:hAnsi="Sabon-Roman" w:cs="Sabon-Roman"/>
          <w:b/>
          <w:szCs w:val="22"/>
        </w:rPr>
        <w:t>Elimination</w:t>
      </w:r>
      <w:r w:rsidR="003303E8">
        <w:rPr>
          <w:rFonts w:ascii="Sabon-Roman" w:hAnsi="Sabon-Roman" w:cs="Sabon-Roman"/>
          <w:szCs w:val="22"/>
        </w:rPr>
        <w:t xml:space="preserve">: </w:t>
      </w:r>
      <w:r w:rsidRPr="000715C5">
        <w:rPr>
          <w:rFonts w:ascii="Sabon-Roman" w:hAnsi="Sabon-Roman" w:cs="Sabon-Roman"/>
          <w:szCs w:val="22"/>
        </w:rPr>
        <w:t xml:space="preserve">Vismodegib is eliminated primarily by the hepatic route with 82% recovered in feces and 4.4% recovered in urine. </w:t>
      </w:r>
      <w:r w:rsidR="00E763FB">
        <w:rPr>
          <w:rFonts w:ascii="Sabon-Roman" w:hAnsi="Sabon-Roman" w:cs="Sabon-Roman"/>
          <w:szCs w:val="22"/>
        </w:rPr>
        <w:t xml:space="preserve"> </w:t>
      </w:r>
      <w:r w:rsidRPr="000715C5">
        <w:rPr>
          <w:rFonts w:ascii="Sabon-Roman" w:hAnsi="Sabon-Roman" w:cs="Sabon-Roman"/>
          <w:szCs w:val="22"/>
        </w:rPr>
        <w:t xml:space="preserve">The estimated t½ of the drug is 12 days after a single dose and 4 days after continuous once-daily administration. </w:t>
      </w:r>
      <w:r w:rsidR="00E763FB">
        <w:rPr>
          <w:rFonts w:ascii="Sabon-Roman" w:hAnsi="Sabon-Roman" w:cs="Sabon-Roman"/>
          <w:szCs w:val="22"/>
        </w:rPr>
        <w:t xml:space="preserve"> </w:t>
      </w:r>
      <w:r w:rsidRPr="000715C5">
        <w:rPr>
          <w:rFonts w:ascii="Sabon-Roman" w:hAnsi="Sabon-Roman" w:cs="Sabon-Roman"/>
          <w:szCs w:val="22"/>
        </w:rPr>
        <w:t>A trial has been designed to study vismodegib</w:t>
      </w:r>
      <w:r>
        <w:rPr>
          <w:rFonts w:ascii="Sabon-Roman" w:hAnsi="Sabon-Roman" w:cs="Sabon-Roman"/>
          <w:szCs w:val="22"/>
        </w:rPr>
        <w:t xml:space="preserve"> </w:t>
      </w:r>
      <w:r w:rsidRPr="000715C5">
        <w:rPr>
          <w:rFonts w:ascii="Sabon-Roman" w:hAnsi="Sabon-Roman" w:cs="Sabon-Roman"/>
          <w:szCs w:val="22"/>
        </w:rPr>
        <w:t>in patients with renal or hepatic impairment, but these populations have not been included in the</w:t>
      </w:r>
      <w:r>
        <w:rPr>
          <w:rFonts w:ascii="Sabon-Roman" w:hAnsi="Sabon-Roman" w:cs="Sabon-Roman"/>
          <w:szCs w:val="22"/>
        </w:rPr>
        <w:t xml:space="preserve"> </w:t>
      </w:r>
      <w:r w:rsidRPr="000715C5">
        <w:rPr>
          <w:rFonts w:ascii="Sabon-Roman" w:hAnsi="Sabon-Roman" w:cs="Sabon-Roman"/>
          <w:szCs w:val="22"/>
        </w:rPr>
        <w:t xml:space="preserve">trials produced thus far. </w:t>
      </w:r>
      <w:r w:rsidR="00E763FB">
        <w:rPr>
          <w:rFonts w:ascii="Sabon-Roman" w:hAnsi="Sabon-Roman" w:cs="Sabon-Roman"/>
          <w:szCs w:val="22"/>
        </w:rPr>
        <w:t xml:space="preserve"> </w:t>
      </w:r>
      <w:r w:rsidRPr="000715C5">
        <w:rPr>
          <w:rFonts w:ascii="Sabon-Roman" w:hAnsi="Sabon-Roman" w:cs="Sabon-Roman"/>
          <w:szCs w:val="22"/>
        </w:rPr>
        <w:t>Population pharmacokinetic analyses demonstrated that weight (range, 41–140 kg), age (range, 26–89 years), creatinine clearance (range, 30–80 mL/min), and sex do not have a clinically meaningful influence on the systemic exposure of vismodegib</w:t>
      </w:r>
      <w:r w:rsidRPr="00C1364F">
        <w:rPr>
          <w:rFonts w:ascii="Sabon-Roman" w:hAnsi="Sabon-Roman" w:cs="Sabon-Roman"/>
          <w:szCs w:val="22"/>
          <w:vertAlign w:val="superscript"/>
        </w:rPr>
        <w:t>3</w:t>
      </w:r>
      <w:r w:rsidRPr="000715C5">
        <w:rPr>
          <w:rFonts w:ascii="Sabon-Roman" w:hAnsi="Sabon-Roman" w:cs="Sabon-Roman"/>
          <w:szCs w:val="22"/>
        </w:rPr>
        <w:t>.</w:t>
      </w:r>
    </w:p>
    <w:p w:rsidR="009C214E" w:rsidRDefault="009C214E">
      <w:pPr>
        <w:rPr>
          <w:bCs/>
        </w:rPr>
      </w:pPr>
    </w:p>
    <w:p w:rsidR="009C214E" w:rsidRDefault="00891449" w:rsidP="009C214E">
      <w:pPr>
        <w:pStyle w:val="Heading1"/>
      </w:pPr>
      <w:r>
        <w:t xml:space="preserve">FDA Approved Indication(s) </w:t>
      </w:r>
    </w:p>
    <w:p w:rsidR="009C214E" w:rsidRDefault="00891449" w:rsidP="009C214E">
      <w:pPr>
        <w:pStyle w:val="BodyText"/>
        <w:rPr>
          <w:rFonts w:ascii="Times New Roman" w:hAnsi="Times New Roman"/>
          <w:color w:val="000000"/>
          <w:sz w:val="22"/>
        </w:rPr>
      </w:pPr>
      <w:r>
        <w:rPr>
          <w:rFonts w:ascii="Times New Roman" w:hAnsi="Times New Roman"/>
          <w:color w:val="000000"/>
          <w:sz w:val="22"/>
        </w:rPr>
        <w:t>Vismodegib</w:t>
      </w:r>
      <w:r w:rsidRPr="00E21170">
        <w:rPr>
          <w:rFonts w:ascii="Times New Roman" w:hAnsi="Times New Roman"/>
          <w:color w:val="000000"/>
          <w:sz w:val="22"/>
        </w:rPr>
        <w:t xml:space="preserve"> is indicated for the treatment of adults with metastatic basal cell carcinoma, or with locally advanced basal cell carcinoma that has recurred following surgery or who are not candidates for surgery, and who are not candidates for radiation.</w:t>
      </w:r>
    </w:p>
    <w:p w:rsidR="009C214E" w:rsidRDefault="009C214E" w:rsidP="009C214E">
      <w:pPr>
        <w:pStyle w:val="BodyText"/>
        <w:rPr>
          <w:rFonts w:ascii="Times New Roman" w:hAnsi="Times New Roman"/>
          <w:color w:val="000000"/>
          <w:sz w:val="22"/>
        </w:rPr>
      </w:pPr>
    </w:p>
    <w:p w:rsidR="009C214E" w:rsidRDefault="00891449" w:rsidP="009C214E">
      <w:pPr>
        <w:pStyle w:val="Heading1"/>
      </w:pPr>
      <w:r>
        <w:lastRenderedPageBreak/>
        <w:t>Potential Off-label Uses</w:t>
      </w:r>
    </w:p>
    <w:p w:rsidR="009C214E" w:rsidRDefault="00891449" w:rsidP="009C214E">
      <w:r>
        <w:t xml:space="preserve">This section is not intended to promote any off-label uses. Off-label use should be evidence-based. See VA PBM-MAP and Center for Medication Safety’s </w:t>
      </w:r>
      <w:hyperlink r:id="rId12" w:history="1">
        <w:r w:rsidRPr="005D56F7">
          <w:rPr>
            <w:rStyle w:val="Hyperlink"/>
          </w:rPr>
          <w:t>Guidance on “Off-label” Prescribing</w:t>
        </w:r>
      </w:hyperlink>
      <w:r>
        <w:t xml:space="preserve"> (available on the VA PBM Intranet site only).</w:t>
      </w:r>
    </w:p>
    <w:p w:rsidR="009C214E" w:rsidRDefault="009C214E" w:rsidP="009C214E"/>
    <w:p w:rsidR="009C214E" w:rsidRDefault="00891449" w:rsidP="009C214E">
      <w:r>
        <w:t>An abstract published in the April 2013 issue of Journal of Clinic</w:t>
      </w:r>
      <w:r w:rsidR="003A4143">
        <w:t>al Oncology described the neoadj</w:t>
      </w:r>
      <w:r>
        <w:t xml:space="preserve">uvant use of vismodegib to decrease cosmetic defects.  In a small case series, patients were given vismodegib 150mg daily for 3 months prior to surgical removal. </w:t>
      </w:r>
      <w:r w:rsidR="003A4143">
        <w:t xml:space="preserve"> </w:t>
      </w:r>
      <w:r>
        <w:t xml:space="preserve">Resection of basal cell carcinoma tumors resulted in smaller cosmetic defects when patients received neoadjuvant vismodegib. </w:t>
      </w:r>
      <w:r w:rsidR="00C42957">
        <w:t xml:space="preserve"> </w:t>
      </w:r>
      <w:r>
        <w:t xml:space="preserve">The area of the defect was reduced by about 50% in patients. </w:t>
      </w:r>
      <w:r w:rsidR="00C42957">
        <w:t xml:space="preserve"> </w:t>
      </w:r>
      <w:r>
        <w:t>After a median 5.5 months of follow-up, no recurrences were seen in any of five patients given the drug prior to surgery for lesions in surgically challenging locations, such as the eyelid.</w:t>
      </w:r>
      <w:r w:rsidRPr="00F213E8">
        <w:t xml:space="preserve"> </w:t>
      </w:r>
      <w:r w:rsidR="00C42957">
        <w:t xml:space="preserve"> </w:t>
      </w:r>
      <w:r>
        <w:t xml:space="preserve">The interim analysis included five patients with seven lesions treated for a median of 3.4 months. </w:t>
      </w:r>
      <w:r w:rsidR="00C42957">
        <w:t xml:space="preserve"> </w:t>
      </w:r>
      <w:r>
        <w:t>Mean estimated surgical defect decreased from 3 cm</w:t>
      </w:r>
      <w:r w:rsidRPr="00B346EE">
        <w:rPr>
          <w:vertAlign w:val="superscript"/>
        </w:rPr>
        <w:t>2</w:t>
      </w:r>
      <w:r>
        <w:t xml:space="preserve"> to 1.6 cm</w:t>
      </w:r>
      <w:r w:rsidRPr="00B346EE">
        <w:rPr>
          <w:vertAlign w:val="superscript"/>
        </w:rPr>
        <w:t>2</w:t>
      </w:r>
      <w:r>
        <w:t xml:space="preserve"> after preoperative treatment, a 46% reduction from baseline (P = .008).</w:t>
      </w:r>
    </w:p>
    <w:p w:rsidR="009C214E" w:rsidRDefault="00891449" w:rsidP="009C214E">
      <w:r>
        <w:t xml:space="preserve"> </w:t>
      </w:r>
    </w:p>
    <w:p w:rsidR="009C214E" w:rsidRDefault="00891449" w:rsidP="009C214E">
      <w:r>
        <w:t xml:space="preserve">Review of ongoing trials or trials actively recruiting subjects identifies 40 studies that are examining the potential use of vismodegib in a variety of settings which include: metastatic colon cancer, ovarian cancer, advanced head and neck cancer, medulloblastomas, pancreatic cancer, glioblastoma multiforme, extensive stage small cell lung cancer, and stomach cancer. </w:t>
      </w:r>
      <w:r w:rsidR="00BF0A0D">
        <w:t xml:space="preserve"> </w:t>
      </w:r>
      <w:r>
        <w:t>Comments on safety and efficacy in these populations cannot be made at this time</w:t>
      </w:r>
      <w:r w:rsidRPr="00251EC2">
        <w:rPr>
          <w:vertAlign w:val="superscript"/>
        </w:rPr>
        <w:t>4</w:t>
      </w:r>
      <w:r>
        <w:t>.</w:t>
      </w:r>
    </w:p>
    <w:p w:rsidR="009C214E" w:rsidRDefault="009C214E" w:rsidP="009C214E"/>
    <w:p w:rsidR="009C214E" w:rsidRDefault="00891449" w:rsidP="009C214E">
      <w:pPr>
        <w:pStyle w:val="Heading1"/>
      </w:pPr>
      <w:r>
        <w:t>Current VA National Formulary Alternatives</w:t>
      </w:r>
    </w:p>
    <w:p w:rsidR="009C214E" w:rsidRDefault="00891449" w:rsidP="009C214E">
      <w:r>
        <w:t xml:space="preserve">There are no VA Formulary alternatives for locally advanced or metastatic basal cell carcinoma. </w:t>
      </w:r>
      <w:r w:rsidR="00F95B4F">
        <w:t xml:space="preserve"> </w:t>
      </w:r>
      <w:r>
        <w:t xml:space="preserve">All formulary agents topical therapies are for superficial localized disease. </w:t>
      </w:r>
    </w:p>
    <w:p w:rsidR="009C214E" w:rsidRDefault="009C214E" w:rsidP="009C214E"/>
    <w:p w:rsidR="009C214E" w:rsidRDefault="00891449" w:rsidP="009C214E">
      <w:r w:rsidRPr="009B598F">
        <w:t>Superficial therapies include topical treatment with 5-</w:t>
      </w:r>
      <w:r w:rsidR="009C214E">
        <w:t xml:space="preserve">fluorouracil </w:t>
      </w:r>
      <w:r w:rsidRPr="009B598F">
        <w:t xml:space="preserve">or imiquimod </w:t>
      </w:r>
      <w:r w:rsidR="0005033A">
        <w:t>can be used for lesions with a low risk of recurrence as</w:t>
      </w:r>
      <w:r w:rsidRPr="009B598F">
        <w:t xml:space="preserve"> these agents have shown to have lower cure rates than surgery or radiation. </w:t>
      </w:r>
      <w:r>
        <w:t>Please see VA criteria for use for imiquimod.</w:t>
      </w:r>
    </w:p>
    <w:p w:rsidR="009C214E" w:rsidRDefault="009C214E" w:rsidP="009C214E"/>
    <w:p w:rsidR="009C214E" w:rsidRPr="00166A3A" w:rsidRDefault="00891449" w:rsidP="009C214E">
      <w:pPr>
        <w:rPr>
          <w:color w:val="548DD4" w:themeColor="text2" w:themeTint="99"/>
        </w:rPr>
      </w:pPr>
      <w:r>
        <w:t>There have only been case reports of systemic chemotherapy used in this population, such as platinum based regimens</w:t>
      </w:r>
      <w:r w:rsidR="00331F2D">
        <w:t>,</w:t>
      </w:r>
      <w:r>
        <w:t xml:space="preserve"> but </w:t>
      </w:r>
      <w:r w:rsidR="00331F2D">
        <w:t>there are currently no standard therapies for advanced disease that cannot be treated with surgery or radiation</w:t>
      </w:r>
      <w:r>
        <w:t>.</w:t>
      </w:r>
    </w:p>
    <w:p w:rsidR="009C214E" w:rsidRDefault="00891449" w:rsidP="009C214E">
      <w:pPr>
        <w:pStyle w:val="Heading1"/>
      </w:pPr>
      <w:r>
        <w:t>Dosage and Administration</w:t>
      </w:r>
    </w:p>
    <w:p w:rsidR="009C214E" w:rsidRDefault="00891449" w:rsidP="009C214E">
      <w:r w:rsidRPr="004957C9">
        <w:rPr>
          <w:color w:val="000000"/>
        </w:rPr>
        <w:t>The FDA-approved</w:t>
      </w:r>
      <w:r>
        <w:rPr>
          <w:color w:val="000000"/>
        </w:rPr>
        <w:t xml:space="preserve"> dosing of vismodegib is 150 mg </w:t>
      </w:r>
      <w:r w:rsidRPr="004957C9">
        <w:rPr>
          <w:color w:val="000000"/>
        </w:rPr>
        <w:t>orally daily until disease progression or unacceptable</w:t>
      </w:r>
      <w:r>
        <w:rPr>
          <w:color w:val="000000"/>
        </w:rPr>
        <w:t xml:space="preserve"> </w:t>
      </w:r>
      <w:r w:rsidRPr="004957C9">
        <w:rPr>
          <w:color w:val="000000"/>
        </w:rPr>
        <w:t xml:space="preserve">toxicity is experienced. </w:t>
      </w:r>
      <w:r>
        <w:rPr>
          <w:szCs w:val="22"/>
        </w:rPr>
        <w:t xml:space="preserve">Vismodegib </w:t>
      </w:r>
      <w:r w:rsidRPr="002C5EDB">
        <w:rPr>
          <w:szCs w:val="22"/>
        </w:rPr>
        <w:t>may be taken with or without food. Swallow capsules whole</w:t>
      </w:r>
      <w:r w:rsidRPr="00643B73">
        <w:rPr>
          <w:szCs w:val="22"/>
        </w:rPr>
        <w:t xml:space="preserve">. </w:t>
      </w:r>
      <w:r w:rsidRPr="00643B73">
        <w:rPr>
          <w:bCs/>
          <w:szCs w:val="22"/>
        </w:rPr>
        <w:t>Do not open or crush capsules.</w:t>
      </w:r>
      <w:r>
        <w:rPr>
          <w:b/>
          <w:bCs/>
          <w:szCs w:val="22"/>
        </w:rPr>
        <w:t xml:space="preserve"> </w:t>
      </w:r>
      <w:r w:rsidRPr="002C5EDB">
        <w:rPr>
          <w:szCs w:val="22"/>
        </w:rPr>
        <w:t xml:space="preserve">If a dose of </w:t>
      </w:r>
      <w:r>
        <w:rPr>
          <w:szCs w:val="22"/>
        </w:rPr>
        <w:t xml:space="preserve">vismodegib </w:t>
      </w:r>
      <w:r w:rsidRPr="002C5EDB">
        <w:rPr>
          <w:szCs w:val="22"/>
        </w:rPr>
        <w:t>is missed, do not make up that dose; resume dosing with the next scheduled dose</w:t>
      </w:r>
      <w:r w:rsidRPr="00C1364F">
        <w:rPr>
          <w:szCs w:val="22"/>
          <w:vertAlign w:val="superscript"/>
        </w:rPr>
        <w:t>3</w:t>
      </w:r>
      <w:r w:rsidRPr="002C5EDB">
        <w:rPr>
          <w:szCs w:val="22"/>
        </w:rPr>
        <w:t>.</w:t>
      </w:r>
      <w:r>
        <w:t xml:space="preserve"> </w:t>
      </w:r>
    </w:p>
    <w:p w:rsidR="009C214E" w:rsidRDefault="009C214E" w:rsidP="009C214E">
      <w:pPr>
        <w:rPr>
          <w:color w:val="000000"/>
        </w:rPr>
      </w:pPr>
    </w:p>
    <w:p w:rsidR="009C214E" w:rsidRDefault="00891449" w:rsidP="009C214E">
      <w:pPr>
        <w:pStyle w:val="Heading1"/>
      </w:pPr>
      <w:r>
        <w:t xml:space="preserve">Efficacy </w:t>
      </w:r>
    </w:p>
    <w:p w:rsidR="009C214E" w:rsidRDefault="00891449" w:rsidP="009C214E">
      <w:pPr>
        <w:pStyle w:val="Heading2"/>
      </w:pPr>
      <w:r w:rsidRPr="0081243B">
        <w:rPr>
          <w:sz w:val="22"/>
          <w:szCs w:val="22"/>
        </w:rPr>
        <w:t>Efficacy Measures</w:t>
      </w:r>
      <w:r>
        <w:t xml:space="preserve"> </w:t>
      </w:r>
      <w:r>
        <w:rPr>
          <w:vertAlign w:val="superscript"/>
        </w:rPr>
        <w:t>6</w:t>
      </w:r>
    </w:p>
    <w:p w:rsidR="009C214E" w:rsidRDefault="00891449" w:rsidP="009C214E">
      <w:pPr>
        <w:outlineLvl w:val="0"/>
        <w:rPr>
          <w:b/>
        </w:rPr>
      </w:pPr>
      <w:r>
        <w:rPr>
          <w:b/>
        </w:rPr>
        <w:t>Primary Outcome:</w:t>
      </w:r>
    </w:p>
    <w:p w:rsidR="009C214E" w:rsidRDefault="00891449" w:rsidP="009C214E">
      <w:r>
        <w:t>The assessment of benefit in the following studies is based on the endpoint of overall response rate (ORR), based on response evaluation criteria in solid tumors (RECIST) in patients with metastatic BCC (</w:t>
      </w:r>
      <w:proofErr w:type="spellStart"/>
      <w:r>
        <w:t>mBCC</w:t>
      </w:r>
      <w:proofErr w:type="spellEnd"/>
      <w:r>
        <w:t>) and a composite criteria of bi-dimensional measurements of externally assessable tumor, bi-dimensional measurements of tumor ulceration, and standardized digital photography of target lesion(s) in patients with locally advanced BCC (</w:t>
      </w:r>
      <w:proofErr w:type="spellStart"/>
      <w:r>
        <w:t>laBCC</w:t>
      </w:r>
      <w:proofErr w:type="spellEnd"/>
      <w:r>
        <w:t>).</w:t>
      </w:r>
    </w:p>
    <w:p w:rsidR="009C214E" w:rsidRDefault="009C214E" w:rsidP="009C214E"/>
    <w:p w:rsidR="009C214E" w:rsidRDefault="00891449" w:rsidP="009C214E">
      <w:r>
        <w:t xml:space="preserve">The response criteria differed for each cohort. For the </w:t>
      </w:r>
      <w:proofErr w:type="spellStart"/>
      <w:r>
        <w:t>mBCC</w:t>
      </w:r>
      <w:proofErr w:type="spellEnd"/>
      <w:r>
        <w:t xml:space="preserve"> cohort RECIST was used, which specifies that a target lesion must shrink by at least 30% and maintain the reduction for ≥ 28 days. In the </w:t>
      </w:r>
      <w:proofErr w:type="spellStart"/>
      <w:r>
        <w:t>laBCC</w:t>
      </w:r>
      <w:proofErr w:type="spellEnd"/>
      <w:r>
        <w:t xml:space="preserve"> cohort, tumor response evaluation utilized a composite endpoint of visual assessment and measurement of externally assessable tumor and ulceration, radiographic assessment of target lesions (if appropriate), and tumor biopsy. </w:t>
      </w:r>
    </w:p>
    <w:p w:rsidR="009C214E" w:rsidRDefault="009C214E" w:rsidP="009C214E"/>
    <w:p w:rsidR="009C214E" w:rsidRDefault="00891449" w:rsidP="009C214E">
      <w:r>
        <w:t xml:space="preserve">A </w:t>
      </w:r>
      <w:r w:rsidR="008E37A7">
        <w:t>patient</w:t>
      </w:r>
      <w:r>
        <w:t xml:space="preserve"> with </w:t>
      </w:r>
      <w:proofErr w:type="spellStart"/>
      <w:r>
        <w:t>laBCC</w:t>
      </w:r>
      <w:proofErr w:type="spellEnd"/>
      <w:r>
        <w:t xml:space="preserve"> was considered </w:t>
      </w:r>
      <w:r w:rsidR="008E37A7">
        <w:t>to</w:t>
      </w:r>
      <w:r>
        <w:t xml:space="preserve"> respond if at least one of the following criteria was met and the patient did not experience progression:</w:t>
      </w:r>
    </w:p>
    <w:p w:rsidR="009C214E" w:rsidRDefault="00891449" w:rsidP="009C214E">
      <w:r>
        <w:t>(1) ≥ 30% reduction in lesion size [sum of the longest diameter (SLD)] from baseline in target lesions by radiographic assessment;</w:t>
      </w:r>
    </w:p>
    <w:p w:rsidR="009C214E" w:rsidRDefault="00891449" w:rsidP="009C214E">
      <w:r>
        <w:t xml:space="preserve">(2) ≥ 30% reduction in SLD from baseline in externally visible dimension of target lesions; </w:t>
      </w:r>
    </w:p>
    <w:p w:rsidR="009C214E" w:rsidRDefault="00891449" w:rsidP="009C214E">
      <w:r>
        <w:t xml:space="preserve">(3) </w:t>
      </w:r>
      <w:r w:rsidR="00072F44">
        <w:t>Complete</w:t>
      </w:r>
      <w:r>
        <w:t xml:space="preserve"> resolution of ulceration in all target lesions. </w:t>
      </w:r>
    </w:p>
    <w:p w:rsidR="009C214E" w:rsidRDefault="009C214E" w:rsidP="009C214E"/>
    <w:p w:rsidR="009C214E" w:rsidRDefault="00891449" w:rsidP="009C214E">
      <w:r>
        <w:t xml:space="preserve">Progression in </w:t>
      </w:r>
      <w:r w:rsidR="00B621F4">
        <w:t xml:space="preserve">the </w:t>
      </w:r>
      <w:proofErr w:type="spellStart"/>
      <w:r>
        <w:t>laBCC</w:t>
      </w:r>
      <w:proofErr w:type="spellEnd"/>
      <w:r>
        <w:t xml:space="preserve"> cohort was defined as meeting any of the following criteria: </w:t>
      </w:r>
    </w:p>
    <w:p w:rsidR="009C214E" w:rsidRDefault="00891449" w:rsidP="009C214E">
      <w:r>
        <w:t>(1) ≥ 20% increase in the sum of the longest dimensions (SLD) from nadir in target lesions (either by radiography or by externally visible dimension)</w:t>
      </w:r>
    </w:p>
    <w:p w:rsidR="009C214E" w:rsidRDefault="00891449" w:rsidP="009C214E">
      <w:r>
        <w:t xml:space="preserve">(2) </w:t>
      </w:r>
      <w:proofErr w:type="gramStart"/>
      <w:r>
        <w:t>new</w:t>
      </w:r>
      <w:proofErr w:type="gramEnd"/>
      <w:r>
        <w:t xml:space="preserve"> ulceration of target lesions persisting without evidence of healing for at least 2 weeks; (3) new lesions by radiographic assessment or physical examination</w:t>
      </w:r>
    </w:p>
    <w:p w:rsidR="009C214E" w:rsidRDefault="00891449" w:rsidP="009C214E">
      <w:r>
        <w:t xml:space="preserve">(4) </w:t>
      </w:r>
      <w:proofErr w:type="gramStart"/>
      <w:r>
        <w:t>progression</w:t>
      </w:r>
      <w:proofErr w:type="gramEnd"/>
      <w:r>
        <w:t xml:space="preserve"> of non-target lesions by RECIST.</w:t>
      </w:r>
    </w:p>
    <w:p w:rsidR="009C214E" w:rsidRDefault="009C214E" w:rsidP="009C214E"/>
    <w:p w:rsidR="009C214E" w:rsidRDefault="00891449" w:rsidP="009C214E">
      <w:pPr>
        <w:outlineLvl w:val="0"/>
        <w:rPr>
          <w:b/>
        </w:rPr>
      </w:pPr>
      <w:r w:rsidRPr="00F27733">
        <w:rPr>
          <w:b/>
        </w:rPr>
        <w:t>Secondary Endpoint</w:t>
      </w:r>
    </w:p>
    <w:p w:rsidR="009C214E" w:rsidRDefault="00891449" w:rsidP="009C214E">
      <w:r>
        <w:t xml:space="preserve">The secondary endpoints included median duration of response, median progression-free survival and duration of treatment. </w:t>
      </w:r>
    </w:p>
    <w:p w:rsidR="009C214E" w:rsidRDefault="00891449" w:rsidP="009C214E">
      <w:pPr>
        <w:pStyle w:val="Caption"/>
        <w:spacing w:before="0"/>
        <w:outlineLvl w:val="0"/>
      </w:pPr>
      <w:r>
        <w:t>Table #1 Definition of Response</w:t>
      </w:r>
    </w:p>
    <w:p w:rsidR="009C214E" w:rsidRPr="00A86AC6" w:rsidRDefault="009C214E" w:rsidP="009C214E">
      <w:pPr>
        <w:pStyle w:val="Caption"/>
        <w:spacing w:before="0"/>
      </w:pPr>
    </w:p>
    <w:tbl>
      <w:tblPr>
        <w:tblStyle w:val="TableTheme"/>
        <w:tblW w:w="0" w:type="auto"/>
        <w:tblLook w:val="04A0" w:firstRow="1" w:lastRow="0" w:firstColumn="1" w:lastColumn="0" w:noHBand="0" w:noVBand="1"/>
      </w:tblPr>
      <w:tblGrid>
        <w:gridCol w:w="4428"/>
        <w:gridCol w:w="4428"/>
      </w:tblGrid>
      <w:tr w:rsidR="009C214E">
        <w:tc>
          <w:tcPr>
            <w:tcW w:w="4428" w:type="dxa"/>
          </w:tcPr>
          <w:p w:rsidR="009C214E" w:rsidRDefault="00891449" w:rsidP="009C214E">
            <w:pPr>
              <w:pStyle w:val="Caption"/>
              <w:spacing w:before="0"/>
            </w:pPr>
            <w:r>
              <w:t>Complete response (CR)</w:t>
            </w:r>
          </w:p>
          <w:p w:rsidR="009C214E" w:rsidRDefault="009C214E" w:rsidP="009C214E"/>
          <w:p w:rsidR="009C214E" w:rsidRDefault="009C214E" w:rsidP="009C214E"/>
          <w:p w:rsidR="009C214E" w:rsidRPr="00BC6BCA" w:rsidRDefault="009C214E" w:rsidP="009C214E"/>
        </w:tc>
        <w:tc>
          <w:tcPr>
            <w:tcW w:w="4428" w:type="dxa"/>
          </w:tcPr>
          <w:p w:rsidR="009C214E" w:rsidRDefault="00891449" w:rsidP="009C214E">
            <w:r>
              <w:t>Disappearance of all target lesions</w:t>
            </w:r>
          </w:p>
          <w:p w:rsidR="009C214E" w:rsidRDefault="009C214E" w:rsidP="009C214E">
            <w:pPr>
              <w:pStyle w:val="Caption"/>
              <w:spacing w:before="0"/>
            </w:pPr>
          </w:p>
        </w:tc>
      </w:tr>
      <w:tr w:rsidR="009C214E">
        <w:trPr>
          <w:trHeight w:val="845"/>
        </w:trPr>
        <w:tc>
          <w:tcPr>
            <w:tcW w:w="4428" w:type="dxa"/>
          </w:tcPr>
          <w:p w:rsidR="009C214E" w:rsidRDefault="00891449" w:rsidP="009C214E">
            <w:pPr>
              <w:pStyle w:val="Caption"/>
              <w:spacing w:before="0"/>
            </w:pPr>
            <w:r>
              <w:t>Partial response (PR)</w:t>
            </w:r>
          </w:p>
        </w:tc>
        <w:tc>
          <w:tcPr>
            <w:tcW w:w="4428" w:type="dxa"/>
          </w:tcPr>
          <w:p w:rsidR="009C214E" w:rsidRDefault="00891449" w:rsidP="009C214E">
            <w:r>
              <w:t>At least a 30% decrease in the sum of the longest diameter of target lesions, taking as reference the baseline sum  longest diameter</w:t>
            </w:r>
          </w:p>
          <w:p w:rsidR="009C214E" w:rsidRDefault="009C214E" w:rsidP="009C214E"/>
          <w:p w:rsidR="009C214E" w:rsidRDefault="009C214E" w:rsidP="009C214E">
            <w:pPr>
              <w:pStyle w:val="Caption"/>
              <w:spacing w:before="0"/>
            </w:pPr>
          </w:p>
        </w:tc>
      </w:tr>
      <w:tr w:rsidR="009C214E">
        <w:tc>
          <w:tcPr>
            <w:tcW w:w="4428" w:type="dxa"/>
          </w:tcPr>
          <w:p w:rsidR="009C214E" w:rsidRDefault="00891449" w:rsidP="009C214E">
            <w:pPr>
              <w:pStyle w:val="Caption"/>
              <w:spacing w:before="0"/>
            </w:pPr>
            <w:r>
              <w:t>Progressive disease (PD)</w:t>
            </w:r>
          </w:p>
        </w:tc>
        <w:tc>
          <w:tcPr>
            <w:tcW w:w="4428" w:type="dxa"/>
          </w:tcPr>
          <w:p w:rsidR="009C214E" w:rsidRDefault="00891449" w:rsidP="009C214E">
            <w:r>
              <w:t>At least a 20% increase in the sum of the longest diameter of target lesions, taking as reference the smallest sum longest diameter recorded since the treatment started or the appearance of one or more new lesions</w:t>
            </w:r>
          </w:p>
          <w:p w:rsidR="009C214E" w:rsidRDefault="009C214E" w:rsidP="009C214E">
            <w:pPr>
              <w:pStyle w:val="Caption"/>
              <w:spacing w:before="0"/>
            </w:pPr>
          </w:p>
        </w:tc>
      </w:tr>
      <w:tr w:rsidR="009C214E">
        <w:tc>
          <w:tcPr>
            <w:tcW w:w="4428" w:type="dxa"/>
          </w:tcPr>
          <w:p w:rsidR="009C214E" w:rsidRDefault="00891449" w:rsidP="009C214E">
            <w:pPr>
              <w:pStyle w:val="Caption"/>
              <w:spacing w:before="0"/>
            </w:pPr>
            <w:r>
              <w:t>Stable disease (SD)</w:t>
            </w:r>
          </w:p>
        </w:tc>
        <w:tc>
          <w:tcPr>
            <w:tcW w:w="4428" w:type="dxa"/>
          </w:tcPr>
          <w:p w:rsidR="009C214E" w:rsidRDefault="00891449" w:rsidP="009C214E">
            <w:r>
              <w:t>Neither sufficient shrinkage to qualify for PR nor sufficient increase to qualify for PD, taking as reference the smallest sum longest diameter since the treatment started</w:t>
            </w:r>
          </w:p>
          <w:p w:rsidR="009C214E" w:rsidRDefault="009C214E" w:rsidP="009C214E">
            <w:pPr>
              <w:pStyle w:val="Caption"/>
              <w:spacing w:before="0"/>
            </w:pPr>
          </w:p>
        </w:tc>
      </w:tr>
    </w:tbl>
    <w:p w:rsidR="009C214E" w:rsidRDefault="009C214E" w:rsidP="009C214E">
      <w:pPr>
        <w:pStyle w:val="Heading2"/>
        <w:rPr>
          <w:sz w:val="21"/>
          <w:szCs w:val="21"/>
        </w:rPr>
      </w:pPr>
    </w:p>
    <w:p w:rsidR="009C214E" w:rsidRPr="00354728" w:rsidRDefault="00891449" w:rsidP="009C214E">
      <w:pPr>
        <w:pStyle w:val="Heading2"/>
        <w:rPr>
          <w:sz w:val="21"/>
          <w:szCs w:val="21"/>
        </w:rPr>
      </w:pPr>
      <w:r w:rsidRPr="00354728">
        <w:rPr>
          <w:sz w:val="21"/>
          <w:szCs w:val="21"/>
        </w:rPr>
        <w:t xml:space="preserve">Summary of efficacy findings </w:t>
      </w:r>
    </w:p>
    <w:p w:rsidR="009C214E" w:rsidRDefault="00891449" w:rsidP="009C214E">
      <w:pPr>
        <w:pStyle w:val="NormalWeb"/>
        <w:spacing w:before="0" w:beforeAutospacing="0" w:after="0" w:afterAutospacing="0"/>
        <w:rPr>
          <w:color w:val="auto"/>
          <w:sz w:val="21"/>
          <w:szCs w:val="21"/>
        </w:rPr>
      </w:pPr>
      <w:r>
        <w:rPr>
          <w:color w:val="auto"/>
          <w:sz w:val="21"/>
          <w:szCs w:val="21"/>
        </w:rPr>
        <w:t>Phase II:</w:t>
      </w:r>
    </w:p>
    <w:p w:rsidR="009C214E" w:rsidRPr="00D61A4E" w:rsidRDefault="00891449" w:rsidP="009C214E">
      <w:pPr>
        <w:pStyle w:val="NormalWeb"/>
        <w:spacing w:before="0" w:beforeAutospacing="0" w:after="0" w:afterAutospacing="0"/>
        <w:rPr>
          <w:color w:val="auto"/>
          <w:sz w:val="21"/>
          <w:szCs w:val="21"/>
        </w:rPr>
      </w:pPr>
      <w:proofErr w:type="spellStart"/>
      <w:r w:rsidRPr="00D61A4E">
        <w:rPr>
          <w:color w:val="auto"/>
          <w:sz w:val="21"/>
          <w:szCs w:val="21"/>
        </w:rPr>
        <w:t>Sekulic</w:t>
      </w:r>
      <w:proofErr w:type="spellEnd"/>
      <w:r w:rsidRPr="00D61A4E">
        <w:rPr>
          <w:color w:val="auto"/>
          <w:sz w:val="21"/>
          <w:szCs w:val="21"/>
        </w:rPr>
        <w:t xml:space="preserve"> et al conducted a Phase II multicenter, international, two cohort, non- randomized study of patients with metastatic BCC and locally advanced BCC with inoperable disease or for whom surgery </w:t>
      </w:r>
      <w:r w:rsidRPr="00D61A4E">
        <w:rPr>
          <w:color w:val="auto"/>
          <w:sz w:val="21"/>
          <w:szCs w:val="21"/>
        </w:rPr>
        <w:lastRenderedPageBreak/>
        <w:t>was inappropriate. This included patients with multiple recurrences and low likelihood of surgical cure or substantial anticipated disfigurement.  The median age was 62 years old, 73% were male and 100% were white. The contraindications to surgery or radiation were as follows and patients could fall into more than one category: Inoperable tumor (38%), Surgery inappropriate (62%), radiation previously administered (21%), radiation therapy inapprop</w:t>
      </w:r>
      <w:r>
        <w:rPr>
          <w:color w:val="auto"/>
          <w:sz w:val="21"/>
          <w:szCs w:val="21"/>
        </w:rPr>
        <w:t>riate or contraindicated (79%</w:t>
      </w:r>
      <w:proofErr w:type="gramStart"/>
      <w:r>
        <w:rPr>
          <w:color w:val="auto"/>
          <w:sz w:val="21"/>
          <w:szCs w:val="21"/>
        </w:rPr>
        <w:t>)</w:t>
      </w:r>
      <w:r w:rsidRPr="00C1364F">
        <w:rPr>
          <w:color w:val="auto"/>
          <w:sz w:val="21"/>
          <w:szCs w:val="21"/>
          <w:vertAlign w:val="superscript"/>
        </w:rPr>
        <w:t>2</w:t>
      </w:r>
      <w:proofErr w:type="gramEnd"/>
      <w:r>
        <w:rPr>
          <w:color w:val="auto"/>
          <w:sz w:val="21"/>
          <w:szCs w:val="21"/>
        </w:rPr>
        <w:t>.</w:t>
      </w:r>
    </w:p>
    <w:p w:rsidR="009C214E" w:rsidRDefault="00891449" w:rsidP="009C214E">
      <w:pPr>
        <w:pStyle w:val="NormalWeb"/>
        <w:spacing w:before="0" w:beforeAutospacing="0"/>
        <w:rPr>
          <w:color w:val="auto"/>
          <w:sz w:val="21"/>
          <w:szCs w:val="21"/>
        </w:rPr>
      </w:pPr>
      <w:r w:rsidRPr="00D61A4E">
        <w:rPr>
          <w:color w:val="auto"/>
          <w:sz w:val="21"/>
          <w:szCs w:val="21"/>
        </w:rPr>
        <w:t>Thirty three patients with metastatic BCC and 63 patients with locally advanced BCC were treated with vismodegib 150mg once daily. The primary endpoint was an objective response rate (ORR)</w:t>
      </w:r>
      <w:r>
        <w:rPr>
          <w:color w:val="auto"/>
          <w:sz w:val="21"/>
          <w:szCs w:val="21"/>
        </w:rPr>
        <w:t xml:space="preserve"> defined as those achieving a partial and complete response</w:t>
      </w:r>
      <w:r w:rsidRPr="00D61A4E">
        <w:rPr>
          <w:color w:val="auto"/>
          <w:sz w:val="21"/>
          <w:szCs w:val="21"/>
        </w:rPr>
        <w:t xml:space="preserve">. </w:t>
      </w:r>
      <w:r w:rsidR="00F14CFC">
        <w:rPr>
          <w:color w:val="auto"/>
          <w:sz w:val="21"/>
          <w:szCs w:val="21"/>
        </w:rPr>
        <w:t xml:space="preserve"> </w:t>
      </w:r>
      <w:r w:rsidRPr="00D61A4E">
        <w:rPr>
          <w:color w:val="auto"/>
          <w:sz w:val="21"/>
          <w:szCs w:val="21"/>
        </w:rPr>
        <w:t>Thirty percent of the patients with metastatic BCC responded (95% CI, 16 - 48; p=0.001) and 43% of the patients with locally advanced BCC responded (95% CI, 31-56; P&lt;0.001)</w:t>
      </w:r>
      <w:r w:rsidR="00970078">
        <w:rPr>
          <w:color w:val="auto"/>
          <w:sz w:val="21"/>
          <w:szCs w:val="21"/>
        </w:rPr>
        <w:t xml:space="preserve"> per independent review</w:t>
      </w:r>
      <w:r w:rsidRPr="00D61A4E">
        <w:rPr>
          <w:color w:val="auto"/>
          <w:sz w:val="21"/>
          <w:szCs w:val="21"/>
        </w:rPr>
        <w:t>.</w:t>
      </w:r>
      <w:r w:rsidR="00970078">
        <w:rPr>
          <w:color w:val="auto"/>
          <w:sz w:val="21"/>
          <w:szCs w:val="21"/>
        </w:rPr>
        <w:t xml:space="preserve"> </w:t>
      </w:r>
      <w:r w:rsidRPr="00D61A4E">
        <w:rPr>
          <w:color w:val="auto"/>
          <w:sz w:val="21"/>
          <w:szCs w:val="21"/>
        </w:rPr>
        <w:t xml:space="preserve"> Thirteen patients (21%)</w:t>
      </w:r>
      <w:r w:rsidR="00F14CFC">
        <w:rPr>
          <w:color w:val="auto"/>
          <w:sz w:val="21"/>
          <w:szCs w:val="21"/>
        </w:rPr>
        <w:t xml:space="preserve"> with locally advanced BCC</w:t>
      </w:r>
      <w:r w:rsidRPr="00D61A4E">
        <w:rPr>
          <w:color w:val="auto"/>
          <w:sz w:val="21"/>
          <w:szCs w:val="21"/>
        </w:rPr>
        <w:t xml:space="preserve"> achieved a complete response (CR), defined as absence of residual BCC on assessment of biopsy specimen.  </w:t>
      </w:r>
      <w:r w:rsidR="0059459B">
        <w:rPr>
          <w:color w:val="auto"/>
          <w:sz w:val="21"/>
          <w:szCs w:val="21"/>
        </w:rPr>
        <w:t xml:space="preserve">Biopsy specimens in 54% of patients from this cohort showed no residual basal-cell carcinoma in target lesions, and the majority of this cohort had visible reductions in tumor size.  </w:t>
      </w:r>
      <w:r w:rsidRPr="00D61A4E">
        <w:rPr>
          <w:color w:val="auto"/>
          <w:sz w:val="21"/>
          <w:szCs w:val="21"/>
        </w:rPr>
        <w:t xml:space="preserve">The median duration of response was 7.6 months in both groups and the median progression free survival was 9.5 months. </w:t>
      </w:r>
      <w:r w:rsidR="005233BC">
        <w:rPr>
          <w:color w:val="auto"/>
          <w:sz w:val="21"/>
          <w:szCs w:val="21"/>
        </w:rPr>
        <w:t xml:space="preserve"> Data on overall survival were not mature.  </w:t>
      </w:r>
      <w:r>
        <w:rPr>
          <w:color w:val="auto"/>
          <w:sz w:val="21"/>
          <w:szCs w:val="21"/>
        </w:rPr>
        <w:t>S</w:t>
      </w:r>
      <w:r w:rsidRPr="00D61A4E">
        <w:rPr>
          <w:color w:val="auto"/>
          <w:sz w:val="21"/>
          <w:szCs w:val="21"/>
        </w:rPr>
        <w:t>even deaths due to adverse events were noted.</w:t>
      </w:r>
    </w:p>
    <w:p w:rsidR="009C214E" w:rsidRDefault="00891449" w:rsidP="009C214E">
      <w:pPr>
        <w:pStyle w:val="NormalWeb"/>
        <w:spacing w:before="0" w:beforeAutospacing="0" w:after="0" w:afterAutospacing="0"/>
        <w:rPr>
          <w:color w:val="auto"/>
          <w:sz w:val="21"/>
          <w:szCs w:val="21"/>
        </w:rPr>
      </w:pPr>
      <w:proofErr w:type="gramStart"/>
      <w:r>
        <w:rPr>
          <w:color w:val="auto"/>
          <w:sz w:val="21"/>
          <w:szCs w:val="21"/>
        </w:rPr>
        <w:t>Phase</w:t>
      </w:r>
      <w:proofErr w:type="gramEnd"/>
      <w:r>
        <w:rPr>
          <w:color w:val="auto"/>
          <w:sz w:val="21"/>
          <w:szCs w:val="21"/>
        </w:rPr>
        <w:t xml:space="preserve"> I:</w:t>
      </w:r>
    </w:p>
    <w:p w:rsidR="009C214E" w:rsidRPr="009B1C4E" w:rsidRDefault="00891449" w:rsidP="009C214E">
      <w:pPr>
        <w:pStyle w:val="NormalWeb"/>
        <w:spacing w:before="0" w:beforeAutospacing="0" w:after="0" w:afterAutospacing="0"/>
        <w:rPr>
          <w:color w:val="auto"/>
          <w:sz w:val="21"/>
          <w:szCs w:val="21"/>
        </w:rPr>
      </w:pPr>
      <w:r w:rsidRPr="00354728">
        <w:rPr>
          <w:color w:val="auto"/>
          <w:sz w:val="21"/>
          <w:szCs w:val="21"/>
        </w:rPr>
        <w:t xml:space="preserve">Von Hoff et al conducted a Phase I clinical trial assessing the safety and pharmacokinetics of vismodegib and responses of metastatic or locally advanced basal cell carcinoma. </w:t>
      </w:r>
      <w:r w:rsidR="005233BC">
        <w:rPr>
          <w:color w:val="auto"/>
          <w:sz w:val="21"/>
          <w:szCs w:val="21"/>
        </w:rPr>
        <w:t xml:space="preserve"> </w:t>
      </w:r>
      <w:r w:rsidRPr="00354728">
        <w:rPr>
          <w:color w:val="auto"/>
          <w:sz w:val="21"/>
          <w:szCs w:val="21"/>
        </w:rPr>
        <w:t xml:space="preserve">Thirty-three patients with metastatic or locally advanced basal cell carcinoma were selected.  Median age was 53 years old, 76% were male, 85% had undergone previous surgery, 58% radiotherapy and 45% systemic therapy, 18 patients with metastatic disease and 15 with locally advanced disease. </w:t>
      </w:r>
      <w:r w:rsidR="005233BC">
        <w:rPr>
          <w:color w:val="auto"/>
          <w:sz w:val="21"/>
          <w:szCs w:val="21"/>
        </w:rPr>
        <w:t xml:space="preserve"> </w:t>
      </w:r>
      <w:r w:rsidRPr="00354728">
        <w:rPr>
          <w:color w:val="auto"/>
          <w:sz w:val="21"/>
          <w:szCs w:val="21"/>
        </w:rPr>
        <w:t xml:space="preserve">The overall response rate among patients with metastatic disease was 50% (95% CI, 29-71). </w:t>
      </w:r>
      <w:r w:rsidR="005233BC">
        <w:rPr>
          <w:color w:val="auto"/>
          <w:sz w:val="21"/>
          <w:szCs w:val="21"/>
        </w:rPr>
        <w:t xml:space="preserve"> </w:t>
      </w:r>
      <w:r w:rsidRPr="00354728">
        <w:rPr>
          <w:color w:val="auto"/>
          <w:sz w:val="21"/>
          <w:szCs w:val="21"/>
        </w:rPr>
        <w:t xml:space="preserve">Of the 15 patients with locally advanced disease, overall response rate was 60% (95% CI, 33-83). </w:t>
      </w:r>
      <w:r w:rsidR="005233BC">
        <w:rPr>
          <w:color w:val="auto"/>
          <w:sz w:val="21"/>
          <w:szCs w:val="21"/>
        </w:rPr>
        <w:t xml:space="preserve"> </w:t>
      </w:r>
      <w:r w:rsidRPr="00354728">
        <w:rPr>
          <w:color w:val="auto"/>
          <w:sz w:val="21"/>
          <w:szCs w:val="21"/>
        </w:rPr>
        <w:t xml:space="preserve">Median time of participation was 9.8 months, and median duration of response was 8.8 months. </w:t>
      </w:r>
      <w:r w:rsidR="005233BC">
        <w:rPr>
          <w:color w:val="auto"/>
          <w:sz w:val="21"/>
          <w:szCs w:val="21"/>
        </w:rPr>
        <w:t xml:space="preserve"> </w:t>
      </w:r>
      <w:r w:rsidRPr="00354728">
        <w:rPr>
          <w:color w:val="auto"/>
          <w:sz w:val="21"/>
          <w:szCs w:val="21"/>
        </w:rPr>
        <w:t xml:space="preserve">Overall, of the 33 patients with locally advanced or metastatic tumors, 18 had a response. </w:t>
      </w:r>
      <w:r w:rsidR="005233BC">
        <w:rPr>
          <w:color w:val="auto"/>
          <w:sz w:val="21"/>
          <w:szCs w:val="21"/>
        </w:rPr>
        <w:t xml:space="preserve"> </w:t>
      </w:r>
      <w:r w:rsidRPr="00354728">
        <w:rPr>
          <w:color w:val="auto"/>
          <w:sz w:val="21"/>
          <w:szCs w:val="21"/>
        </w:rPr>
        <w:t xml:space="preserve">Of the remaining 15 patients, 11 had stable disease for up to 10.8 months and 4 had progressive disease. </w:t>
      </w:r>
      <w:r w:rsidR="005233BC">
        <w:rPr>
          <w:color w:val="auto"/>
          <w:sz w:val="21"/>
          <w:szCs w:val="21"/>
        </w:rPr>
        <w:t xml:space="preserve"> </w:t>
      </w:r>
      <w:r w:rsidRPr="00354728">
        <w:rPr>
          <w:color w:val="auto"/>
          <w:sz w:val="21"/>
          <w:szCs w:val="21"/>
        </w:rPr>
        <w:t>There was no dose limiting toxicities noted</w:t>
      </w:r>
      <w:r>
        <w:rPr>
          <w:color w:val="auto"/>
          <w:sz w:val="21"/>
          <w:szCs w:val="21"/>
          <w:vertAlign w:val="superscript"/>
        </w:rPr>
        <w:t>5</w:t>
      </w:r>
      <w:r w:rsidRPr="00354728">
        <w:rPr>
          <w:color w:val="auto"/>
          <w:sz w:val="21"/>
          <w:szCs w:val="21"/>
        </w:rPr>
        <w:t>.</w:t>
      </w:r>
    </w:p>
    <w:p w:rsidR="009C214E" w:rsidRDefault="009C214E" w:rsidP="009C214E">
      <w:pPr>
        <w:rPr>
          <w:sz w:val="21"/>
          <w:szCs w:val="21"/>
        </w:rPr>
      </w:pPr>
    </w:p>
    <w:p w:rsidR="009C214E" w:rsidRDefault="00891449" w:rsidP="009C214E">
      <w:pPr>
        <w:rPr>
          <w:sz w:val="21"/>
          <w:szCs w:val="21"/>
        </w:rPr>
      </w:pPr>
      <w:r>
        <w:rPr>
          <w:sz w:val="21"/>
          <w:szCs w:val="21"/>
        </w:rPr>
        <w:t>Case Series:</w:t>
      </w:r>
    </w:p>
    <w:p w:rsidR="009C214E" w:rsidRPr="00354728" w:rsidRDefault="00891449" w:rsidP="009C214E">
      <w:pPr>
        <w:rPr>
          <w:sz w:val="21"/>
          <w:szCs w:val="21"/>
        </w:rPr>
      </w:pPr>
      <w:r w:rsidRPr="00354728">
        <w:rPr>
          <w:sz w:val="21"/>
          <w:szCs w:val="21"/>
        </w:rPr>
        <w:t xml:space="preserve">Amin et al published a case series of three patients with locally advanced basal cell carcinoma, one with metastases. </w:t>
      </w:r>
      <w:r w:rsidR="005233BC">
        <w:rPr>
          <w:sz w:val="21"/>
          <w:szCs w:val="21"/>
        </w:rPr>
        <w:t xml:space="preserve"> </w:t>
      </w:r>
      <w:r w:rsidRPr="00354728">
        <w:rPr>
          <w:sz w:val="21"/>
          <w:szCs w:val="21"/>
        </w:rPr>
        <w:t xml:space="preserve">Two patients showed a complete clinical response and radiological resolution of disease; whereas one patient has significant reduction in tumor burden. </w:t>
      </w:r>
      <w:r w:rsidR="005233BC">
        <w:rPr>
          <w:sz w:val="21"/>
          <w:szCs w:val="21"/>
        </w:rPr>
        <w:t xml:space="preserve"> </w:t>
      </w:r>
      <w:r w:rsidRPr="00354728">
        <w:rPr>
          <w:sz w:val="21"/>
          <w:szCs w:val="21"/>
        </w:rPr>
        <w:t>Side effects seen were taste changes, mild to moderate hair loss, and muscle cramps.  Duration of therapy was not directly stated, however appeared that patients were on therapy for a least 1 year</w:t>
      </w:r>
      <w:r w:rsidRPr="00C1364F">
        <w:rPr>
          <w:sz w:val="21"/>
          <w:szCs w:val="21"/>
          <w:vertAlign w:val="superscript"/>
        </w:rPr>
        <w:t>7</w:t>
      </w:r>
      <w:r w:rsidRPr="00354728">
        <w:rPr>
          <w:sz w:val="21"/>
          <w:szCs w:val="21"/>
        </w:rPr>
        <w:t xml:space="preserve">. </w:t>
      </w:r>
    </w:p>
    <w:p w:rsidR="009C214E" w:rsidRPr="00973ECB" w:rsidRDefault="009C214E" w:rsidP="009C214E">
      <w:pPr>
        <w:rPr>
          <w:sz w:val="21"/>
          <w:szCs w:val="21"/>
        </w:rPr>
      </w:pPr>
    </w:p>
    <w:p w:rsidR="009C214E" w:rsidRDefault="00891449" w:rsidP="009C214E">
      <w:pPr>
        <w:rPr>
          <w:sz w:val="21"/>
          <w:szCs w:val="21"/>
        </w:rPr>
      </w:pPr>
      <w:r>
        <w:rPr>
          <w:sz w:val="21"/>
          <w:szCs w:val="21"/>
        </w:rPr>
        <w:t>Basal Cell Nevus:</w:t>
      </w:r>
    </w:p>
    <w:p w:rsidR="009C214E" w:rsidRDefault="00891449" w:rsidP="009C214E">
      <w:pPr>
        <w:rPr>
          <w:sz w:val="21"/>
          <w:szCs w:val="21"/>
        </w:rPr>
      </w:pPr>
      <w:r w:rsidRPr="00973ECB">
        <w:rPr>
          <w:sz w:val="21"/>
          <w:szCs w:val="21"/>
        </w:rPr>
        <w:t xml:space="preserve">Vismodegib has been studied in patients with </w:t>
      </w:r>
      <w:proofErr w:type="spellStart"/>
      <w:r w:rsidRPr="00973ECB">
        <w:rPr>
          <w:sz w:val="21"/>
          <w:szCs w:val="21"/>
        </w:rPr>
        <w:t>Gorlin</w:t>
      </w:r>
      <w:proofErr w:type="spellEnd"/>
      <w:r w:rsidRPr="00973ECB">
        <w:rPr>
          <w:sz w:val="21"/>
          <w:szCs w:val="21"/>
        </w:rPr>
        <w:t xml:space="preserve"> syndrome, a subtype of BCC called basal cell nevus syndrome. Forty-one patients were randomized in a 2:1 ratio to receive vismodegib 150mg daily or placebo for 18 months.  Significant difference in reduction of existing surgically eligible BCC was noted between the treatment and placebo group </w:t>
      </w:r>
      <w:r w:rsidRPr="008D2999">
        <w:rPr>
          <w:sz w:val="21"/>
          <w:szCs w:val="21"/>
          <w:vertAlign w:val="superscript"/>
        </w:rPr>
        <w:t>5</w:t>
      </w:r>
      <w:r w:rsidRPr="00973ECB">
        <w:rPr>
          <w:sz w:val="21"/>
          <w:szCs w:val="21"/>
        </w:rPr>
        <w:t xml:space="preserve">.  </w:t>
      </w:r>
    </w:p>
    <w:p w:rsidR="00373D5F" w:rsidRDefault="00373D5F" w:rsidP="00373D5F">
      <w:pPr>
        <w:pStyle w:val="Heading1"/>
        <w:spacing w:before="0" w:after="0"/>
      </w:pPr>
    </w:p>
    <w:p w:rsidR="00373D5F" w:rsidRDefault="00373D5F" w:rsidP="00373D5F">
      <w:pPr>
        <w:pStyle w:val="Heading1"/>
        <w:spacing w:before="0" w:after="0"/>
      </w:pPr>
    </w:p>
    <w:p w:rsidR="00373D5F" w:rsidRDefault="00373D5F" w:rsidP="00373D5F"/>
    <w:p w:rsidR="00373D5F" w:rsidRDefault="00373D5F" w:rsidP="00373D5F"/>
    <w:p w:rsidR="00373D5F" w:rsidRPr="00373D5F" w:rsidRDefault="00373D5F" w:rsidP="00373D5F"/>
    <w:p w:rsidR="00373D5F" w:rsidRDefault="00373D5F" w:rsidP="00373D5F">
      <w:pPr>
        <w:pStyle w:val="Heading1"/>
        <w:spacing w:before="0" w:after="0"/>
      </w:pPr>
    </w:p>
    <w:p w:rsidR="00373D5F" w:rsidRDefault="00373D5F" w:rsidP="00373D5F">
      <w:pPr>
        <w:pStyle w:val="Heading1"/>
        <w:spacing w:before="0" w:after="0"/>
      </w:pPr>
    </w:p>
    <w:p w:rsidR="00373D5F" w:rsidRDefault="00373D5F" w:rsidP="00F92AB7">
      <w:pPr>
        <w:pStyle w:val="Heading1"/>
        <w:spacing w:before="0" w:after="0"/>
      </w:pPr>
    </w:p>
    <w:p w:rsidR="00F92AB7" w:rsidRPr="00F92AB7" w:rsidRDefault="00F92AB7" w:rsidP="00F92AB7"/>
    <w:p w:rsidR="009C214E" w:rsidRPr="008D2999" w:rsidRDefault="00891449" w:rsidP="00F92AB7">
      <w:pPr>
        <w:pStyle w:val="Heading1"/>
        <w:spacing w:before="0" w:after="0"/>
        <w:rPr>
          <w:vertAlign w:val="superscript"/>
        </w:rPr>
      </w:pPr>
      <w:r>
        <w:lastRenderedPageBreak/>
        <w:t xml:space="preserve">Adverse Events (Safety Data) </w:t>
      </w:r>
      <w:r>
        <w:rPr>
          <w:vertAlign w:val="superscript"/>
        </w:rPr>
        <w:t>6</w:t>
      </w:r>
    </w:p>
    <w:p w:rsidR="009C214E" w:rsidRDefault="009C214E" w:rsidP="00F92AB7">
      <w:pPr>
        <w:rPr>
          <w:b/>
        </w:rPr>
      </w:pPr>
    </w:p>
    <w:tbl>
      <w:tblPr>
        <w:tblW w:w="8504" w:type="dxa"/>
        <w:tblCellMar>
          <w:left w:w="0" w:type="dxa"/>
          <w:right w:w="0" w:type="dxa"/>
        </w:tblCellMar>
        <w:tblLook w:val="0420" w:firstRow="1" w:lastRow="0" w:firstColumn="0" w:lastColumn="0" w:noHBand="0" w:noVBand="1"/>
      </w:tblPr>
      <w:tblGrid>
        <w:gridCol w:w="2869"/>
        <w:gridCol w:w="1895"/>
        <w:gridCol w:w="1870"/>
        <w:gridCol w:w="1870"/>
      </w:tblGrid>
      <w:tr w:rsidR="009C214E" w:rsidRPr="006311F6">
        <w:trPr>
          <w:trHeight w:val="523"/>
        </w:trPr>
        <w:tc>
          <w:tcPr>
            <w:tcW w:w="2869"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tcPr>
          <w:p w:rsidR="009C214E" w:rsidRPr="002A19A9" w:rsidRDefault="00891449" w:rsidP="009C214E">
            <w:pPr>
              <w:rPr>
                <w:sz w:val="24"/>
                <w:szCs w:val="24"/>
              </w:rPr>
            </w:pPr>
            <w:r w:rsidRPr="002A19A9">
              <w:rPr>
                <w:b/>
                <w:bCs/>
                <w:color w:val="FFFFFF" w:themeColor="light1"/>
                <w:kern w:val="24"/>
                <w:sz w:val="24"/>
                <w:szCs w:val="24"/>
              </w:rPr>
              <w:t>Adverse Event</w:t>
            </w:r>
          </w:p>
        </w:tc>
        <w:tc>
          <w:tcPr>
            <w:tcW w:w="189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tcPr>
          <w:p w:rsidR="009C214E" w:rsidRPr="002A19A9" w:rsidRDefault="00891449" w:rsidP="009C214E">
            <w:pPr>
              <w:rPr>
                <w:sz w:val="24"/>
                <w:szCs w:val="24"/>
              </w:rPr>
            </w:pPr>
            <w:r w:rsidRPr="002A19A9">
              <w:rPr>
                <w:b/>
                <w:bCs/>
                <w:color w:val="FFFFFF" w:themeColor="light1"/>
                <w:kern w:val="24"/>
                <w:sz w:val="24"/>
                <w:szCs w:val="24"/>
              </w:rPr>
              <w:t>All Grades (%)</w:t>
            </w:r>
          </w:p>
        </w:tc>
        <w:tc>
          <w:tcPr>
            <w:tcW w:w="187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tcPr>
          <w:p w:rsidR="009C214E" w:rsidRPr="002A19A9" w:rsidRDefault="00891449" w:rsidP="009C214E">
            <w:pPr>
              <w:rPr>
                <w:sz w:val="24"/>
                <w:szCs w:val="24"/>
              </w:rPr>
            </w:pPr>
            <w:r w:rsidRPr="002A19A9">
              <w:rPr>
                <w:b/>
                <w:bCs/>
                <w:color w:val="FFFFFF" w:themeColor="light1"/>
                <w:kern w:val="24"/>
                <w:sz w:val="24"/>
                <w:szCs w:val="24"/>
              </w:rPr>
              <w:t>Grade 3 (%)</w:t>
            </w:r>
          </w:p>
        </w:tc>
        <w:tc>
          <w:tcPr>
            <w:tcW w:w="187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tcPr>
          <w:p w:rsidR="009C214E" w:rsidRPr="002A19A9" w:rsidRDefault="00891449" w:rsidP="009C214E">
            <w:pPr>
              <w:rPr>
                <w:sz w:val="24"/>
                <w:szCs w:val="24"/>
              </w:rPr>
            </w:pPr>
            <w:r w:rsidRPr="002A19A9">
              <w:rPr>
                <w:b/>
                <w:bCs/>
                <w:color w:val="FFFFFF" w:themeColor="light1"/>
                <w:kern w:val="24"/>
                <w:sz w:val="24"/>
                <w:szCs w:val="24"/>
              </w:rPr>
              <w:t>Grade 4 (%)</w:t>
            </w:r>
          </w:p>
        </w:tc>
      </w:tr>
      <w:tr w:rsidR="009C214E" w:rsidRPr="006311F6">
        <w:trPr>
          <w:trHeight w:val="1205"/>
        </w:trPr>
        <w:tc>
          <w:tcPr>
            <w:tcW w:w="286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GI</w:t>
            </w:r>
          </w:p>
          <w:p w:rsidR="009C214E" w:rsidRPr="002A19A9" w:rsidRDefault="00891449" w:rsidP="009C214E">
            <w:pPr>
              <w:numPr>
                <w:ilvl w:val="0"/>
                <w:numId w:val="32"/>
              </w:numPr>
              <w:ind w:left="994"/>
              <w:contextualSpacing/>
              <w:rPr>
                <w:sz w:val="24"/>
                <w:szCs w:val="24"/>
              </w:rPr>
            </w:pPr>
            <w:r w:rsidRPr="002A19A9">
              <w:rPr>
                <w:color w:val="000000" w:themeColor="dark1"/>
                <w:kern w:val="24"/>
                <w:sz w:val="24"/>
                <w:szCs w:val="24"/>
              </w:rPr>
              <w:t>Nausea</w:t>
            </w:r>
          </w:p>
          <w:p w:rsidR="009C214E" w:rsidRPr="002A19A9" w:rsidRDefault="00891449" w:rsidP="009C214E">
            <w:pPr>
              <w:numPr>
                <w:ilvl w:val="0"/>
                <w:numId w:val="32"/>
              </w:numPr>
              <w:ind w:left="994"/>
              <w:contextualSpacing/>
              <w:rPr>
                <w:sz w:val="24"/>
                <w:szCs w:val="24"/>
              </w:rPr>
            </w:pPr>
            <w:r w:rsidRPr="002A19A9">
              <w:rPr>
                <w:color w:val="000000" w:themeColor="dark1"/>
                <w:kern w:val="24"/>
                <w:sz w:val="24"/>
                <w:szCs w:val="24"/>
              </w:rPr>
              <w:t>Diarrhea</w:t>
            </w:r>
          </w:p>
          <w:p w:rsidR="009C214E" w:rsidRPr="002A19A9" w:rsidRDefault="00891449" w:rsidP="009C214E">
            <w:pPr>
              <w:numPr>
                <w:ilvl w:val="0"/>
                <w:numId w:val="32"/>
              </w:numPr>
              <w:ind w:left="994"/>
              <w:contextualSpacing/>
              <w:rPr>
                <w:sz w:val="24"/>
                <w:szCs w:val="24"/>
              </w:rPr>
            </w:pPr>
            <w:r w:rsidRPr="002A19A9">
              <w:rPr>
                <w:color w:val="000000" w:themeColor="dark1"/>
                <w:kern w:val="24"/>
                <w:sz w:val="24"/>
                <w:szCs w:val="24"/>
              </w:rPr>
              <w:t>Constipation</w:t>
            </w:r>
          </w:p>
          <w:p w:rsidR="009C214E" w:rsidRPr="002A19A9" w:rsidRDefault="00CA27AB" w:rsidP="009C214E">
            <w:pPr>
              <w:numPr>
                <w:ilvl w:val="0"/>
                <w:numId w:val="32"/>
              </w:numPr>
              <w:ind w:left="994"/>
              <w:contextualSpacing/>
              <w:rPr>
                <w:sz w:val="24"/>
                <w:szCs w:val="24"/>
              </w:rPr>
            </w:pPr>
            <w:r>
              <w:rPr>
                <w:color w:val="000000" w:themeColor="dark1"/>
                <w:kern w:val="24"/>
                <w:sz w:val="24"/>
                <w:szCs w:val="24"/>
              </w:rPr>
              <w:t>Vomit</w:t>
            </w:r>
            <w:r w:rsidR="00891449" w:rsidRPr="002A19A9">
              <w:rPr>
                <w:color w:val="000000" w:themeColor="dark1"/>
                <w:kern w:val="24"/>
                <w:sz w:val="24"/>
                <w:szCs w:val="24"/>
              </w:rPr>
              <w:t>ing</w:t>
            </w:r>
          </w:p>
        </w:tc>
        <w:tc>
          <w:tcPr>
            <w:tcW w:w="189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Default="009C214E" w:rsidP="009C214E">
            <w:pPr>
              <w:rPr>
                <w:color w:val="000000" w:themeColor="dark1"/>
                <w:kern w:val="24"/>
                <w:sz w:val="24"/>
                <w:szCs w:val="24"/>
              </w:rPr>
            </w:pPr>
          </w:p>
          <w:p w:rsidR="009C214E" w:rsidRPr="002A19A9" w:rsidRDefault="00891449" w:rsidP="009C214E">
            <w:pPr>
              <w:rPr>
                <w:sz w:val="24"/>
                <w:szCs w:val="24"/>
              </w:rPr>
            </w:pPr>
            <w:r w:rsidRPr="002A19A9">
              <w:rPr>
                <w:color w:val="000000" w:themeColor="dark1"/>
                <w:kern w:val="24"/>
                <w:sz w:val="24"/>
                <w:szCs w:val="24"/>
              </w:rPr>
              <w:t>42 (30.4%)</w:t>
            </w:r>
          </w:p>
          <w:p w:rsidR="009C214E" w:rsidRPr="002A19A9" w:rsidRDefault="00891449" w:rsidP="009C214E">
            <w:pPr>
              <w:rPr>
                <w:sz w:val="24"/>
                <w:szCs w:val="24"/>
              </w:rPr>
            </w:pPr>
            <w:r w:rsidRPr="002A19A9">
              <w:rPr>
                <w:color w:val="000000" w:themeColor="dark1"/>
                <w:kern w:val="24"/>
                <w:sz w:val="24"/>
                <w:szCs w:val="24"/>
              </w:rPr>
              <w:t>40 (29.0%)</w:t>
            </w:r>
          </w:p>
          <w:p w:rsidR="009C214E" w:rsidRPr="002A19A9" w:rsidRDefault="00891449" w:rsidP="009C214E">
            <w:pPr>
              <w:rPr>
                <w:sz w:val="24"/>
                <w:szCs w:val="24"/>
              </w:rPr>
            </w:pPr>
            <w:r w:rsidRPr="002A19A9">
              <w:rPr>
                <w:color w:val="000000" w:themeColor="dark1"/>
                <w:kern w:val="24"/>
                <w:sz w:val="24"/>
                <w:szCs w:val="24"/>
              </w:rPr>
              <w:t>29 (21.0%)</w:t>
            </w:r>
          </w:p>
          <w:p w:rsidR="009C214E" w:rsidRPr="002A19A9" w:rsidRDefault="00891449" w:rsidP="009C214E">
            <w:pPr>
              <w:rPr>
                <w:sz w:val="24"/>
                <w:szCs w:val="24"/>
              </w:rPr>
            </w:pPr>
            <w:r w:rsidRPr="002A19A9">
              <w:rPr>
                <w:color w:val="000000" w:themeColor="dark1"/>
                <w:kern w:val="24"/>
                <w:sz w:val="24"/>
                <w:szCs w:val="24"/>
              </w:rPr>
              <w:t>19 (13.8%)</w:t>
            </w:r>
          </w:p>
        </w:tc>
        <w:tc>
          <w:tcPr>
            <w:tcW w:w="187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Default="009C214E" w:rsidP="009C214E">
            <w:pPr>
              <w:rPr>
                <w:color w:val="000000" w:themeColor="dark1"/>
                <w:kern w:val="24"/>
                <w:sz w:val="24"/>
                <w:szCs w:val="24"/>
              </w:rPr>
            </w:pPr>
          </w:p>
          <w:p w:rsidR="009C214E" w:rsidRPr="002A19A9" w:rsidRDefault="00891449" w:rsidP="009C214E">
            <w:pPr>
              <w:rPr>
                <w:sz w:val="24"/>
                <w:szCs w:val="24"/>
              </w:rPr>
            </w:pPr>
            <w:r w:rsidRPr="002A19A9">
              <w:rPr>
                <w:color w:val="000000" w:themeColor="dark1"/>
                <w:kern w:val="24"/>
                <w:sz w:val="24"/>
                <w:szCs w:val="24"/>
              </w:rPr>
              <w:t>1 (0.7%)</w:t>
            </w:r>
          </w:p>
          <w:p w:rsidR="009C214E" w:rsidRPr="002A19A9" w:rsidRDefault="00891449" w:rsidP="009C214E">
            <w:pPr>
              <w:rPr>
                <w:sz w:val="24"/>
                <w:szCs w:val="24"/>
              </w:rPr>
            </w:pPr>
            <w:r w:rsidRPr="002A19A9">
              <w:rPr>
                <w:color w:val="000000" w:themeColor="dark1"/>
                <w:kern w:val="24"/>
                <w:sz w:val="24"/>
                <w:szCs w:val="24"/>
              </w:rPr>
              <w:t>1 (0.7%)</w:t>
            </w:r>
          </w:p>
          <w:p w:rsidR="009C214E" w:rsidRPr="002A19A9" w:rsidRDefault="00891449" w:rsidP="009C214E">
            <w:pPr>
              <w:rPr>
                <w:sz w:val="24"/>
                <w:szCs w:val="24"/>
              </w:rPr>
            </w:pPr>
            <w:r w:rsidRPr="002A19A9">
              <w:rPr>
                <w:color w:val="000000" w:themeColor="dark1"/>
                <w:kern w:val="24"/>
                <w:sz w:val="24"/>
                <w:szCs w:val="24"/>
              </w:rPr>
              <w:t>-</w:t>
            </w:r>
          </w:p>
          <w:p w:rsidR="009C214E" w:rsidRPr="002A19A9" w:rsidRDefault="00891449" w:rsidP="009C214E">
            <w:pPr>
              <w:rPr>
                <w:sz w:val="24"/>
                <w:szCs w:val="24"/>
              </w:rPr>
            </w:pPr>
            <w:r w:rsidRPr="002A19A9">
              <w:rPr>
                <w:color w:val="000000" w:themeColor="dark1"/>
                <w:kern w:val="24"/>
                <w:sz w:val="24"/>
                <w:szCs w:val="24"/>
              </w:rPr>
              <w:t>-</w:t>
            </w:r>
          </w:p>
        </w:tc>
        <w:tc>
          <w:tcPr>
            <w:tcW w:w="187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Default="009C214E" w:rsidP="009C214E">
            <w:pPr>
              <w:rPr>
                <w:color w:val="000000" w:themeColor="dark1"/>
                <w:kern w:val="24"/>
                <w:sz w:val="24"/>
                <w:szCs w:val="24"/>
              </w:rPr>
            </w:pPr>
          </w:p>
          <w:p w:rsidR="009C214E" w:rsidRPr="002A19A9" w:rsidRDefault="00891449" w:rsidP="009C214E">
            <w:pPr>
              <w:rPr>
                <w:sz w:val="24"/>
                <w:szCs w:val="24"/>
              </w:rPr>
            </w:pPr>
            <w:r w:rsidRPr="002A19A9">
              <w:rPr>
                <w:color w:val="000000" w:themeColor="dark1"/>
                <w:kern w:val="24"/>
                <w:sz w:val="24"/>
                <w:szCs w:val="24"/>
              </w:rPr>
              <w:t>-</w:t>
            </w:r>
          </w:p>
          <w:p w:rsidR="009C214E" w:rsidRPr="002A19A9" w:rsidRDefault="00891449" w:rsidP="009C214E">
            <w:pPr>
              <w:rPr>
                <w:sz w:val="24"/>
                <w:szCs w:val="24"/>
              </w:rPr>
            </w:pPr>
            <w:r w:rsidRPr="002A19A9">
              <w:rPr>
                <w:color w:val="000000" w:themeColor="dark1"/>
                <w:kern w:val="24"/>
                <w:sz w:val="24"/>
                <w:szCs w:val="24"/>
              </w:rPr>
              <w:t>-</w:t>
            </w:r>
          </w:p>
          <w:p w:rsidR="009C214E" w:rsidRPr="002A19A9" w:rsidRDefault="00891449" w:rsidP="009C214E">
            <w:pPr>
              <w:rPr>
                <w:sz w:val="24"/>
                <w:szCs w:val="24"/>
              </w:rPr>
            </w:pPr>
            <w:r w:rsidRPr="002A19A9">
              <w:rPr>
                <w:color w:val="000000" w:themeColor="dark1"/>
                <w:kern w:val="24"/>
                <w:sz w:val="24"/>
                <w:szCs w:val="24"/>
              </w:rPr>
              <w:t>-</w:t>
            </w:r>
          </w:p>
          <w:p w:rsidR="009C214E" w:rsidRPr="002A19A9" w:rsidRDefault="00891449" w:rsidP="009C214E">
            <w:pPr>
              <w:rPr>
                <w:sz w:val="24"/>
                <w:szCs w:val="24"/>
              </w:rPr>
            </w:pPr>
            <w:r w:rsidRPr="002A19A9">
              <w:rPr>
                <w:color w:val="000000" w:themeColor="dark1"/>
                <w:kern w:val="24"/>
                <w:sz w:val="24"/>
                <w:szCs w:val="24"/>
              </w:rPr>
              <w:t>-</w:t>
            </w:r>
          </w:p>
        </w:tc>
      </w:tr>
      <w:tr w:rsidR="009C214E" w:rsidRPr="006311F6">
        <w:trPr>
          <w:trHeight w:val="523"/>
        </w:trPr>
        <w:tc>
          <w:tcPr>
            <w:tcW w:w="286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Fatigue</w:t>
            </w:r>
          </w:p>
        </w:tc>
        <w:tc>
          <w:tcPr>
            <w:tcW w:w="189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55 (39.9%)</w:t>
            </w:r>
          </w:p>
        </w:tc>
        <w:tc>
          <w:tcPr>
            <w:tcW w:w="187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7 (5.1%)</w:t>
            </w:r>
          </w:p>
        </w:tc>
        <w:tc>
          <w:tcPr>
            <w:tcW w:w="187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1 (0.7%)</w:t>
            </w:r>
          </w:p>
        </w:tc>
      </w:tr>
      <w:tr w:rsidR="009C214E" w:rsidRPr="006311F6">
        <w:trPr>
          <w:trHeight w:val="523"/>
        </w:trPr>
        <w:tc>
          <w:tcPr>
            <w:tcW w:w="286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Weight loss</w:t>
            </w:r>
          </w:p>
        </w:tc>
        <w:tc>
          <w:tcPr>
            <w:tcW w:w="189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62 (44.9%)</w:t>
            </w:r>
          </w:p>
        </w:tc>
        <w:tc>
          <w:tcPr>
            <w:tcW w:w="187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10 (7.2%)</w:t>
            </w:r>
          </w:p>
        </w:tc>
        <w:tc>
          <w:tcPr>
            <w:tcW w:w="187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w:t>
            </w:r>
          </w:p>
        </w:tc>
      </w:tr>
      <w:tr w:rsidR="009C214E" w:rsidRPr="006311F6">
        <w:trPr>
          <w:trHeight w:val="560"/>
        </w:trPr>
        <w:tc>
          <w:tcPr>
            <w:tcW w:w="286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Muscle Spasm</w:t>
            </w:r>
          </w:p>
          <w:p w:rsidR="009C214E" w:rsidRPr="002A19A9" w:rsidRDefault="00891449" w:rsidP="009C214E">
            <w:pPr>
              <w:rPr>
                <w:sz w:val="24"/>
                <w:szCs w:val="24"/>
              </w:rPr>
            </w:pPr>
            <w:r w:rsidRPr="002A19A9">
              <w:rPr>
                <w:color w:val="000000" w:themeColor="dark1"/>
                <w:kern w:val="24"/>
                <w:sz w:val="24"/>
                <w:szCs w:val="24"/>
              </w:rPr>
              <w:t>Arth</w:t>
            </w:r>
            <w:r w:rsidR="001925FB">
              <w:rPr>
                <w:color w:val="000000" w:themeColor="dark1"/>
                <w:kern w:val="24"/>
                <w:sz w:val="24"/>
                <w:szCs w:val="24"/>
              </w:rPr>
              <w:t>r</w:t>
            </w:r>
            <w:r w:rsidRPr="002A19A9">
              <w:rPr>
                <w:color w:val="000000" w:themeColor="dark1"/>
                <w:kern w:val="24"/>
                <w:sz w:val="24"/>
                <w:szCs w:val="24"/>
              </w:rPr>
              <w:t>algias</w:t>
            </w:r>
          </w:p>
        </w:tc>
        <w:tc>
          <w:tcPr>
            <w:tcW w:w="189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99 (71.7%)</w:t>
            </w:r>
          </w:p>
          <w:p w:rsidR="009C214E" w:rsidRPr="002A19A9" w:rsidRDefault="00891449" w:rsidP="009C214E">
            <w:pPr>
              <w:rPr>
                <w:sz w:val="24"/>
                <w:szCs w:val="24"/>
              </w:rPr>
            </w:pPr>
            <w:r w:rsidRPr="002A19A9">
              <w:rPr>
                <w:color w:val="000000" w:themeColor="dark1"/>
                <w:kern w:val="24"/>
                <w:sz w:val="24"/>
                <w:szCs w:val="24"/>
              </w:rPr>
              <w:t>22 (15.9%)</w:t>
            </w:r>
          </w:p>
        </w:tc>
        <w:tc>
          <w:tcPr>
            <w:tcW w:w="187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5 (3.6%)</w:t>
            </w:r>
          </w:p>
          <w:p w:rsidR="009C214E" w:rsidRPr="002A19A9" w:rsidRDefault="00891449" w:rsidP="009C214E">
            <w:pPr>
              <w:rPr>
                <w:sz w:val="24"/>
                <w:szCs w:val="24"/>
              </w:rPr>
            </w:pPr>
            <w:r w:rsidRPr="002A19A9">
              <w:rPr>
                <w:color w:val="000000" w:themeColor="dark1"/>
                <w:kern w:val="24"/>
                <w:sz w:val="24"/>
                <w:szCs w:val="24"/>
              </w:rPr>
              <w:t>1 (0.7%)</w:t>
            </w:r>
          </w:p>
        </w:tc>
        <w:tc>
          <w:tcPr>
            <w:tcW w:w="187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w:t>
            </w:r>
          </w:p>
        </w:tc>
      </w:tr>
      <w:tr w:rsidR="009C214E" w:rsidRPr="006311F6">
        <w:trPr>
          <w:trHeight w:val="560"/>
        </w:trPr>
        <w:tc>
          <w:tcPr>
            <w:tcW w:w="286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Dysgeusia</w:t>
            </w:r>
          </w:p>
          <w:p w:rsidR="009C214E" w:rsidRPr="002A19A9" w:rsidRDefault="00891449" w:rsidP="009C214E">
            <w:pPr>
              <w:rPr>
                <w:sz w:val="24"/>
                <w:szCs w:val="24"/>
              </w:rPr>
            </w:pPr>
            <w:r w:rsidRPr="002A19A9">
              <w:rPr>
                <w:color w:val="000000" w:themeColor="dark1"/>
                <w:kern w:val="24"/>
                <w:sz w:val="24"/>
                <w:szCs w:val="24"/>
              </w:rPr>
              <w:t>Ageusia</w:t>
            </w:r>
          </w:p>
        </w:tc>
        <w:tc>
          <w:tcPr>
            <w:tcW w:w="189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76 (55.1%)</w:t>
            </w:r>
          </w:p>
          <w:p w:rsidR="009C214E" w:rsidRPr="002A19A9" w:rsidRDefault="00891449" w:rsidP="009C214E">
            <w:pPr>
              <w:rPr>
                <w:sz w:val="24"/>
                <w:szCs w:val="24"/>
              </w:rPr>
            </w:pPr>
            <w:r w:rsidRPr="002A19A9">
              <w:rPr>
                <w:color w:val="000000" w:themeColor="dark1"/>
                <w:kern w:val="24"/>
                <w:sz w:val="24"/>
                <w:szCs w:val="24"/>
              </w:rPr>
              <w:t>15 (10.9%)</w:t>
            </w:r>
          </w:p>
        </w:tc>
        <w:tc>
          <w:tcPr>
            <w:tcW w:w="187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w:t>
            </w:r>
          </w:p>
          <w:p w:rsidR="009C214E" w:rsidRPr="002A19A9" w:rsidRDefault="00891449" w:rsidP="009C214E">
            <w:pPr>
              <w:rPr>
                <w:sz w:val="24"/>
                <w:szCs w:val="24"/>
              </w:rPr>
            </w:pPr>
            <w:r w:rsidRPr="002A19A9">
              <w:rPr>
                <w:color w:val="000000" w:themeColor="dark1"/>
                <w:kern w:val="24"/>
                <w:sz w:val="24"/>
                <w:szCs w:val="24"/>
              </w:rPr>
              <w:t>-</w:t>
            </w:r>
          </w:p>
        </w:tc>
        <w:tc>
          <w:tcPr>
            <w:tcW w:w="187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w:t>
            </w:r>
          </w:p>
          <w:p w:rsidR="009C214E" w:rsidRPr="002A19A9" w:rsidRDefault="00891449" w:rsidP="009C214E">
            <w:pPr>
              <w:rPr>
                <w:sz w:val="24"/>
                <w:szCs w:val="24"/>
              </w:rPr>
            </w:pPr>
            <w:r w:rsidRPr="002A19A9">
              <w:rPr>
                <w:color w:val="000000" w:themeColor="dark1"/>
                <w:kern w:val="24"/>
                <w:sz w:val="24"/>
                <w:szCs w:val="24"/>
              </w:rPr>
              <w:t>-</w:t>
            </w:r>
          </w:p>
        </w:tc>
      </w:tr>
      <w:tr w:rsidR="009C214E" w:rsidRPr="006311F6">
        <w:trPr>
          <w:trHeight w:val="523"/>
        </w:trPr>
        <w:tc>
          <w:tcPr>
            <w:tcW w:w="286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Alopecia</w:t>
            </w:r>
          </w:p>
        </w:tc>
        <w:tc>
          <w:tcPr>
            <w:tcW w:w="189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88 (63.8%)</w:t>
            </w:r>
          </w:p>
        </w:tc>
        <w:tc>
          <w:tcPr>
            <w:tcW w:w="187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w:t>
            </w:r>
          </w:p>
        </w:tc>
        <w:tc>
          <w:tcPr>
            <w:tcW w:w="187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9C214E" w:rsidRPr="002A19A9" w:rsidRDefault="00891449" w:rsidP="009C214E">
            <w:pPr>
              <w:rPr>
                <w:sz w:val="24"/>
                <w:szCs w:val="24"/>
              </w:rPr>
            </w:pPr>
            <w:r w:rsidRPr="002A19A9">
              <w:rPr>
                <w:color w:val="000000" w:themeColor="dark1"/>
                <w:kern w:val="24"/>
                <w:sz w:val="24"/>
                <w:szCs w:val="24"/>
              </w:rPr>
              <w:t>-</w:t>
            </w:r>
          </w:p>
        </w:tc>
      </w:tr>
    </w:tbl>
    <w:p w:rsidR="009C214E" w:rsidRDefault="009C214E" w:rsidP="009C214E">
      <w:pPr>
        <w:rPr>
          <w:rFonts w:ascii="Arial" w:hAnsi="Arial" w:cs="Arial"/>
          <w:b/>
          <w:sz w:val="20"/>
        </w:rPr>
      </w:pPr>
    </w:p>
    <w:p w:rsidR="009C214E" w:rsidRPr="009C214E" w:rsidRDefault="00B7294D" w:rsidP="009C214E">
      <w:pPr>
        <w:rPr>
          <w:szCs w:val="22"/>
        </w:rPr>
      </w:pPr>
      <w:r w:rsidRPr="00B7294D">
        <w:rPr>
          <w:rFonts w:ascii="Arial" w:hAnsi="Arial" w:cs="Arial"/>
          <w:b/>
          <w:sz w:val="20"/>
        </w:rPr>
        <w:t>Common Adverse Events:</w:t>
      </w:r>
      <w:r>
        <w:rPr>
          <w:rFonts w:ascii="Arial" w:hAnsi="Arial" w:cs="Arial"/>
          <w:sz w:val="20"/>
        </w:rPr>
        <w:t xml:space="preserve">  </w:t>
      </w:r>
      <w:r w:rsidRPr="009C214E">
        <w:rPr>
          <w:szCs w:val="22"/>
        </w:rPr>
        <w:t>muscle spasms, alopecia, dysgeusia, weight loss, fatigue, nausea, diarrhea, decreased appetite, constipation, arthralgias, vomiting, and ageusia.</w:t>
      </w:r>
    </w:p>
    <w:p w:rsidR="009C214E" w:rsidRPr="009C214E" w:rsidRDefault="009C214E" w:rsidP="009C214E">
      <w:pPr>
        <w:rPr>
          <w:rFonts w:ascii="Arial" w:hAnsi="Arial" w:cs="Arial"/>
          <w:b/>
          <w:szCs w:val="22"/>
        </w:rPr>
      </w:pPr>
    </w:p>
    <w:p w:rsidR="009C214E" w:rsidRDefault="009C214E" w:rsidP="009C214E">
      <w:pPr>
        <w:rPr>
          <w:rFonts w:ascii="Arial" w:hAnsi="Arial" w:cs="Arial"/>
          <w:b/>
          <w:sz w:val="20"/>
        </w:rPr>
      </w:pPr>
    </w:p>
    <w:p w:rsidR="009C214E" w:rsidRPr="004E4CE2" w:rsidRDefault="00891449" w:rsidP="009C214E">
      <w:pPr>
        <w:outlineLvl w:val="0"/>
        <w:rPr>
          <w:rFonts w:ascii="Arial" w:hAnsi="Arial" w:cs="Arial"/>
          <w:b/>
          <w:sz w:val="20"/>
          <w:vertAlign w:val="superscript"/>
        </w:rPr>
      </w:pPr>
      <w:r w:rsidRPr="004E4CE2">
        <w:rPr>
          <w:rFonts w:ascii="Arial" w:hAnsi="Arial" w:cs="Arial"/>
          <w:b/>
          <w:sz w:val="20"/>
        </w:rPr>
        <w:t>Sentinel Events (Deaths and Other Serious Adverse Events</w:t>
      </w:r>
      <w:proofErr w:type="gramStart"/>
      <w:r w:rsidRPr="004E4CE2">
        <w:rPr>
          <w:rFonts w:ascii="Arial" w:hAnsi="Arial" w:cs="Arial"/>
          <w:b/>
          <w:sz w:val="20"/>
        </w:rPr>
        <w:t>)</w:t>
      </w:r>
      <w:r w:rsidRPr="004E4CE2">
        <w:rPr>
          <w:rFonts w:ascii="Arial" w:hAnsi="Arial" w:cs="Arial"/>
          <w:b/>
          <w:sz w:val="20"/>
          <w:vertAlign w:val="superscript"/>
        </w:rPr>
        <w:t>8</w:t>
      </w:r>
      <w:proofErr w:type="gramEnd"/>
    </w:p>
    <w:p w:rsidR="009C214E" w:rsidRDefault="009C214E" w:rsidP="009C214E">
      <w:pPr>
        <w:rPr>
          <w:sz w:val="21"/>
          <w:szCs w:val="21"/>
        </w:rPr>
      </w:pPr>
    </w:p>
    <w:p w:rsidR="009C214E" w:rsidRPr="009C214E" w:rsidRDefault="00891449" w:rsidP="009C214E">
      <w:pPr>
        <w:rPr>
          <w:szCs w:val="22"/>
        </w:rPr>
      </w:pPr>
      <w:r w:rsidRPr="009C214E">
        <w:rPr>
          <w:szCs w:val="22"/>
        </w:rPr>
        <w:t>Data from the Phase II trial indicated that 7 of 96 patients experienced grade 5 adverse events:</w:t>
      </w:r>
    </w:p>
    <w:p w:rsidR="009C214E" w:rsidRPr="009C214E" w:rsidRDefault="009C214E" w:rsidP="009C214E">
      <w:pPr>
        <w:rPr>
          <w:szCs w:val="22"/>
        </w:rPr>
      </w:pPr>
    </w:p>
    <w:p w:rsidR="009C214E" w:rsidRPr="009C214E" w:rsidRDefault="00891449" w:rsidP="009C214E">
      <w:pPr>
        <w:rPr>
          <w:szCs w:val="22"/>
        </w:rPr>
      </w:pPr>
      <w:r w:rsidRPr="009C214E">
        <w:rPr>
          <w:szCs w:val="22"/>
        </w:rPr>
        <w:t>1) A 59-year-old female experienced ischemic strokes on day 448 and day 452. Vismodegib was discontinued on day 452. A third ischemic stroke occurred on day 475. The patient died on day 514.</w:t>
      </w:r>
    </w:p>
    <w:p w:rsidR="009C214E" w:rsidRPr="009C214E" w:rsidRDefault="009C214E" w:rsidP="009C214E">
      <w:pPr>
        <w:rPr>
          <w:szCs w:val="22"/>
        </w:rPr>
      </w:pPr>
    </w:p>
    <w:p w:rsidR="009C214E" w:rsidRPr="009C214E" w:rsidRDefault="00891449" w:rsidP="009C214E">
      <w:pPr>
        <w:rPr>
          <w:szCs w:val="22"/>
        </w:rPr>
      </w:pPr>
      <w:r w:rsidRPr="009C214E">
        <w:rPr>
          <w:szCs w:val="22"/>
        </w:rPr>
        <w:t xml:space="preserve">2) A 51-year-old male died after an acute myocardial infarction on day 535 of vismodegib therapy. </w:t>
      </w:r>
    </w:p>
    <w:p w:rsidR="009C214E" w:rsidRPr="009C214E" w:rsidRDefault="009C214E" w:rsidP="009C214E">
      <w:pPr>
        <w:rPr>
          <w:szCs w:val="22"/>
        </w:rPr>
      </w:pPr>
    </w:p>
    <w:p w:rsidR="009C214E" w:rsidRPr="009C214E" w:rsidRDefault="00891449" w:rsidP="009C214E">
      <w:pPr>
        <w:rPr>
          <w:szCs w:val="22"/>
        </w:rPr>
      </w:pPr>
      <w:r w:rsidRPr="009C214E">
        <w:rPr>
          <w:szCs w:val="22"/>
        </w:rPr>
        <w:t>3) A 72-year-old male with metastatic BCC, autonomic neuropathy, hypotension, and paroxysmal atrial fibrillation died at home on day 350; the cause of death was unknown.</w:t>
      </w:r>
    </w:p>
    <w:p w:rsidR="009C214E" w:rsidRPr="009C214E" w:rsidRDefault="009C214E" w:rsidP="009C214E">
      <w:pPr>
        <w:rPr>
          <w:szCs w:val="22"/>
        </w:rPr>
      </w:pPr>
    </w:p>
    <w:p w:rsidR="009C214E" w:rsidRPr="009C214E" w:rsidRDefault="00891449" w:rsidP="009C214E">
      <w:pPr>
        <w:rPr>
          <w:szCs w:val="22"/>
        </w:rPr>
      </w:pPr>
      <w:r w:rsidRPr="009C214E">
        <w:rPr>
          <w:szCs w:val="22"/>
        </w:rPr>
        <w:t>4) A 55-year-old female with a history of renal deficiency was hospitalized on day 88 for diuretic intoxication, and on days 272 and 309 for hypokalemia, each related to diuretic use without prescription. On day 335, the patient died of an unknown cause. The investigator assessed diuretics to be a suspected cause of death.</w:t>
      </w:r>
    </w:p>
    <w:p w:rsidR="009C214E" w:rsidRPr="009C214E" w:rsidRDefault="009C214E" w:rsidP="009C214E">
      <w:pPr>
        <w:rPr>
          <w:szCs w:val="22"/>
        </w:rPr>
      </w:pPr>
    </w:p>
    <w:p w:rsidR="009C214E" w:rsidRPr="009C214E" w:rsidRDefault="00891449" w:rsidP="009C214E">
      <w:pPr>
        <w:rPr>
          <w:szCs w:val="22"/>
        </w:rPr>
      </w:pPr>
      <w:r w:rsidRPr="009C214E">
        <w:rPr>
          <w:szCs w:val="22"/>
        </w:rPr>
        <w:t xml:space="preserve">5) A 56-year-old male with multiple co-morbidities was hospitalized for viral meningitis on day 73. He was again hospitalized for “meningeal disease” on day 113, at which time MRI scans </w:t>
      </w:r>
      <w:r w:rsidRPr="009C214E">
        <w:rPr>
          <w:szCs w:val="22"/>
        </w:rPr>
        <w:lastRenderedPageBreak/>
        <w:t>revealed widespread leptomeningeal disease, cord edema, and an extensive brainstem tumor”. Vismodegib was discontinued on day 123. The patient died on day 124 due to “meningeal disease”; the physician reported that death was most likely due to progression of BCC and possibly concurrent illness.</w:t>
      </w:r>
    </w:p>
    <w:p w:rsidR="009C214E" w:rsidRPr="009C214E" w:rsidRDefault="009C214E" w:rsidP="009C214E">
      <w:pPr>
        <w:rPr>
          <w:szCs w:val="22"/>
        </w:rPr>
      </w:pPr>
    </w:p>
    <w:p w:rsidR="009C214E" w:rsidRPr="009C214E" w:rsidRDefault="00891449" w:rsidP="009C214E">
      <w:pPr>
        <w:rPr>
          <w:szCs w:val="22"/>
        </w:rPr>
      </w:pPr>
      <w:r w:rsidRPr="009C214E">
        <w:rPr>
          <w:szCs w:val="22"/>
        </w:rPr>
        <w:t>6)An 89-year-old female mitral insufficiency, chronic atrial fibrillation, coronary heart disease, type 2 diabetes mellitus, and hypertension was hospitalized on day 67 for cardiac failure and pneumonia. Vismodegib was discontinued on day 67. On day 93, she was hospitalized for left ventricular systolic dysfunction and renal failure, and died on day 109 due to an unknown cause.</w:t>
      </w:r>
    </w:p>
    <w:p w:rsidR="009C214E" w:rsidRPr="009C214E" w:rsidRDefault="009C214E" w:rsidP="009C214E">
      <w:pPr>
        <w:rPr>
          <w:szCs w:val="22"/>
        </w:rPr>
      </w:pPr>
    </w:p>
    <w:p w:rsidR="009C214E" w:rsidRPr="009C214E" w:rsidRDefault="00891449" w:rsidP="009C214E">
      <w:pPr>
        <w:rPr>
          <w:szCs w:val="22"/>
        </w:rPr>
      </w:pPr>
      <w:r w:rsidRPr="009C214E">
        <w:rPr>
          <w:szCs w:val="22"/>
        </w:rPr>
        <w:t xml:space="preserve">7) An 85-year-old male with </w:t>
      </w:r>
      <w:proofErr w:type="spellStart"/>
      <w:r w:rsidRPr="009C214E">
        <w:rPr>
          <w:szCs w:val="22"/>
        </w:rPr>
        <w:t>laBCC</w:t>
      </w:r>
      <w:proofErr w:type="spellEnd"/>
      <w:r w:rsidRPr="009C214E">
        <w:rPr>
          <w:szCs w:val="22"/>
        </w:rPr>
        <w:t xml:space="preserve"> and concurrent Alzheimer’s disease, arteritis, diabetes mellitus, hyperlipidemia, and ischemic cardiomyopathy, experienced hypovolemic shock on day 188, which resulted in the patient’s death the next day. The investigator assessed concurrent illness as another possible cause of death.</w:t>
      </w:r>
    </w:p>
    <w:p w:rsidR="009C214E" w:rsidRDefault="009C214E" w:rsidP="009C214E"/>
    <w:p w:rsidR="009C214E" w:rsidRDefault="009C214E" w:rsidP="009C214E">
      <w:pPr>
        <w:rPr>
          <w:b/>
          <w:szCs w:val="22"/>
          <w:u w:val="single"/>
        </w:rPr>
      </w:pPr>
    </w:p>
    <w:p w:rsidR="009C214E" w:rsidRPr="008D2999" w:rsidRDefault="00891449" w:rsidP="009C214E">
      <w:pPr>
        <w:outlineLvl w:val="0"/>
        <w:rPr>
          <w:b/>
          <w:sz w:val="24"/>
          <w:szCs w:val="24"/>
          <w:u w:val="single"/>
        </w:rPr>
      </w:pPr>
      <w:r w:rsidRPr="008D2999">
        <w:rPr>
          <w:b/>
          <w:sz w:val="24"/>
          <w:szCs w:val="24"/>
        </w:rPr>
        <w:t>Tolerability</w:t>
      </w:r>
      <w:r w:rsidRPr="008D2999">
        <w:rPr>
          <w:b/>
          <w:sz w:val="24"/>
          <w:szCs w:val="24"/>
          <w:u w:val="single"/>
          <w:vertAlign w:val="superscript"/>
        </w:rPr>
        <w:t>2</w:t>
      </w:r>
    </w:p>
    <w:p w:rsidR="009C214E" w:rsidRPr="008D2999" w:rsidRDefault="00891449" w:rsidP="009C214E">
      <w:pPr>
        <w:rPr>
          <w:szCs w:val="22"/>
        </w:rPr>
      </w:pPr>
      <w:r w:rsidRPr="008D2999">
        <w:rPr>
          <w:szCs w:val="22"/>
        </w:rPr>
        <w:t xml:space="preserve">Approximately half of the patients in the study discontinued the vismodegib, with the highest percentage owing to subject decision or adverse event. </w:t>
      </w:r>
    </w:p>
    <w:p w:rsidR="009C214E" w:rsidRPr="008D2999" w:rsidRDefault="009C214E" w:rsidP="009C214E">
      <w:pPr>
        <w:rPr>
          <w:sz w:val="20"/>
        </w:rPr>
      </w:pPr>
    </w:p>
    <w:tbl>
      <w:tblPr>
        <w:tblStyle w:val="TableGrid"/>
        <w:tblW w:w="8749" w:type="dxa"/>
        <w:tblLook w:val="04A0" w:firstRow="1" w:lastRow="0" w:firstColumn="1" w:lastColumn="0" w:noHBand="0" w:noVBand="1"/>
      </w:tblPr>
      <w:tblGrid>
        <w:gridCol w:w="4292"/>
        <w:gridCol w:w="2138"/>
        <w:gridCol w:w="2319"/>
      </w:tblGrid>
      <w:tr w:rsidR="009C214E">
        <w:trPr>
          <w:trHeight w:val="496"/>
        </w:trPr>
        <w:tc>
          <w:tcPr>
            <w:tcW w:w="4292" w:type="dxa"/>
          </w:tcPr>
          <w:p w:rsidR="009C214E" w:rsidRPr="00B76C3B" w:rsidRDefault="00891449" w:rsidP="009C214E">
            <w:pPr>
              <w:rPr>
                <w:b/>
                <w:noProof/>
                <w:sz w:val="20"/>
                <w:szCs w:val="20"/>
              </w:rPr>
            </w:pPr>
            <w:r w:rsidRPr="00B76C3B">
              <w:rPr>
                <w:b/>
                <w:noProof/>
                <w:sz w:val="20"/>
              </w:rPr>
              <w:t>Reasons for Vismodegib Discontinuation</w:t>
            </w:r>
          </w:p>
        </w:tc>
        <w:tc>
          <w:tcPr>
            <w:tcW w:w="2138" w:type="dxa"/>
          </w:tcPr>
          <w:p w:rsidR="009C214E" w:rsidRPr="00B76C3B" w:rsidRDefault="00891449" w:rsidP="009C214E">
            <w:pPr>
              <w:rPr>
                <w:b/>
                <w:noProof/>
                <w:sz w:val="20"/>
                <w:szCs w:val="20"/>
              </w:rPr>
            </w:pPr>
            <w:r w:rsidRPr="00B76C3B">
              <w:rPr>
                <w:b/>
                <w:noProof/>
                <w:sz w:val="20"/>
              </w:rPr>
              <w:t>mBCC (N=33)</w:t>
            </w:r>
          </w:p>
          <w:p w:rsidR="009C214E" w:rsidRPr="00B76C3B" w:rsidRDefault="00891449" w:rsidP="009C214E">
            <w:pPr>
              <w:rPr>
                <w:b/>
                <w:noProof/>
                <w:sz w:val="20"/>
                <w:szCs w:val="20"/>
              </w:rPr>
            </w:pPr>
            <w:r w:rsidRPr="00B76C3B">
              <w:rPr>
                <w:b/>
                <w:noProof/>
                <w:sz w:val="20"/>
              </w:rPr>
              <w:t>no. (%)</w:t>
            </w:r>
          </w:p>
          <w:p w:rsidR="009C214E" w:rsidRPr="00B76C3B" w:rsidRDefault="009C214E" w:rsidP="009C214E">
            <w:pPr>
              <w:rPr>
                <w:b/>
                <w:noProof/>
                <w:sz w:val="20"/>
                <w:szCs w:val="20"/>
              </w:rPr>
            </w:pPr>
          </w:p>
        </w:tc>
        <w:tc>
          <w:tcPr>
            <w:tcW w:w="2319" w:type="dxa"/>
          </w:tcPr>
          <w:p w:rsidR="009C214E" w:rsidRPr="00B76C3B" w:rsidRDefault="00891449" w:rsidP="009C214E">
            <w:pPr>
              <w:rPr>
                <w:b/>
                <w:noProof/>
                <w:sz w:val="20"/>
                <w:szCs w:val="20"/>
              </w:rPr>
            </w:pPr>
            <w:r w:rsidRPr="00B76C3B">
              <w:rPr>
                <w:b/>
                <w:noProof/>
                <w:sz w:val="20"/>
              </w:rPr>
              <w:t>IaBCC(N=71)</w:t>
            </w:r>
          </w:p>
          <w:p w:rsidR="009C214E" w:rsidRPr="00B76C3B" w:rsidRDefault="00891449" w:rsidP="009C214E">
            <w:pPr>
              <w:rPr>
                <w:b/>
                <w:noProof/>
                <w:sz w:val="20"/>
                <w:szCs w:val="20"/>
              </w:rPr>
            </w:pPr>
            <w:r w:rsidRPr="00B76C3B">
              <w:rPr>
                <w:b/>
                <w:noProof/>
                <w:sz w:val="20"/>
              </w:rPr>
              <w:t>no. (%)</w:t>
            </w:r>
          </w:p>
        </w:tc>
      </w:tr>
      <w:tr w:rsidR="009C214E">
        <w:trPr>
          <w:trHeight w:val="234"/>
        </w:trPr>
        <w:tc>
          <w:tcPr>
            <w:tcW w:w="4292" w:type="dxa"/>
          </w:tcPr>
          <w:p w:rsidR="009C214E" w:rsidRPr="00B76C3B" w:rsidRDefault="00891449" w:rsidP="009C214E">
            <w:pPr>
              <w:rPr>
                <w:noProof/>
                <w:sz w:val="20"/>
                <w:szCs w:val="20"/>
              </w:rPr>
            </w:pPr>
            <w:r w:rsidRPr="00B76C3B">
              <w:rPr>
                <w:noProof/>
                <w:sz w:val="20"/>
              </w:rPr>
              <w:t>Total vismodegib treatment discontinuations</w:t>
            </w:r>
          </w:p>
        </w:tc>
        <w:tc>
          <w:tcPr>
            <w:tcW w:w="2138" w:type="dxa"/>
          </w:tcPr>
          <w:p w:rsidR="009C214E" w:rsidRPr="00B76C3B" w:rsidRDefault="00891449" w:rsidP="009C214E">
            <w:pPr>
              <w:rPr>
                <w:noProof/>
                <w:sz w:val="20"/>
                <w:szCs w:val="20"/>
              </w:rPr>
            </w:pPr>
            <w:r w:rsidRPr="00B76C3B">
              <w:rPr>
                <w:noProof/>
                <w:sz w:val="20"/>
              </w:rPr>
              <w:t>14 (42.4)</w:t>
            </w:r>
          </w:p>
        </w:tc>
        <w:tc>
          <w:tcPr>
            <w:tcW w:w="2319" w:type="dxa"/>
          </w:tcPr>
          <w:p w:rsidR="009C214E" w:rsidRPr="00B76C3B" w:rsidRDefault="00891449" w:rsidP="009C214E">
            <w:pPr>
              <w:rPr>
                <w:noProof/>
                <w:sz w:val="20"/>
                <w:szCs w:val="20"/>
              </w:rPr>
            </w:pPr>
            <w:r w:rsidRPr="00B76C3B">
              <w:rPr>
                <w:noProof/>
                <w:sz w:val="20"/>
              </w:rPr>
              <w:t>39 (54.9)</w:t>
            </w:r>
          </w:p>
        </w:tc>
      </w:tr>
      <w:tr w:rsidR="009C214E">
        <w:trPr>
          <w:trHeight w:val="248"/>
        </w:trPr>
        <w:tc>
          <w:tcPr>
            <w:tcW w:w="4292" w:type="dxa"/>
          </w:tcPr>
          <w:p w:rsidR="009C214E" w:rsidRPr="00B76C3B" w:rsidRDefault="00891449" w:rsidP="009C214E">
            <w:pPr>
              <w:rPr>
                <w:noProof/>
                <w:sz w:val="20"/>
                <w:szCs w:val="20"/>
              </w:rPr>
            </w:pPr>
            <w:r w:rsidRPr="00B76C3B">
              <w:rPr>
                <w:noProof/>
                <w:sz w:val="20"/>
              </w:rPr>
              <w:t>Adverse event</w:t>
            </w:r>
          </w:p>
        </w:tc>
        <w:tc>
          <w:tcPr>
            <w:tcW w:w="2138" w:type="dxa"/>
          </w:tcPr>
          <w:p w:rsidR="009C214E" w:rsidRPr="00B76C3B" w:rsidRDefault="00891449" w:rsidP="009C214E">
            <w:pPr>
              <w:rPr>
                <w:noProof/>
                <w:sz w:val="20"/>
                <w:szCs w:val="20"/>
              </w:rPr>
            </w:pPr>
            <w:r w:rsidRPr="00B76C3B">
              <w:rPr>
                <w:noProof/>
                <w:sz w:val="20"/>
              </w:rPr>
              <w:t>1 (3.0)</w:t>
            </w:r>
            <w:r w:rsidRPr="00B76C3B">
              <w:rPr>
                <w:noProof/>
                <w:sz w:val="20"/>
              </w:rPr>
              <w:tab/>
            </w:r>
          </w:p>
        </w:tc>
        <w:tc>
          <w:tcPr>
            <w:tcW w:w="2319" w:type="dxa"/>
          </w:tcPr>
          <w:p w:rsidR="009C214E" w:rsidRPr="00B76C3B" w:rsidRDefault="00891449" w:rsidP="009C214E">
            <w:pPr>
              <w:rPr>
                <w:noProof/>
                <w:sz w:val="20"/>
                <w:szCs w:val="20"/>
              </w:rPr>
            </w:pPr>
            <w:r w:rsidRPr="00B76C3B">
              <w:rPr>
                <w:noProof/>
                <w:sz w:val="20"/>
              </w:rPr>
              <w:t>11 (15.5)</w:t>
            </w:r>
          </w:p>
        </w:tc>
      </w:tr>
      <w:tr w:rsidR="009C214E">
        <w:trPr>
          <w:trHeight w:val="248"/>
        </w:trPr>
        <w:tc>
          <w:tcPr>
            <w:tcW w:w="4292" w:type="dxa"/>
          </w:tcPr>
          <w:p w:rsidR="009C214E" w:rsidRPr="00B76C3B" w:rsidRDefault="00891449" w:rsidP="009C214E">
            <w:pPr>
              <w:rPr>
                <w:noProof/>
                <w:sz w:val="20"/>
                <w:szCs w:val="20"/>
              </w:rPr>
            </w:pPr>
            <w:r w:rsidRPr="00B76C3B">
              <w:rPr>
                <w:noProof/>
                <w:sz w:val="20"/>
              </w:rPr>
              <w:t xml:space="preserve">Death </w:t>
            </w:r>
            <w:r w:rsidRPr="00B76C3B">
              <w:rPr>
                <w:noProof/>
                <w:sz w:val="20"/>
              </w:rPr>
              <w:tab/>
            </w:r>
          </w:p>
        </w:tc>
        <w:tc>
          <w:tcPr>
            <w:tcW w:w="2138" w:type="dxa"/>
          </w:tcPr>
          <w:p w:rsidR="009C214E" w:rsidRPr="00B76C3B" w:rsidRDefault="00891449" w:rsidP="009C214E">
            <w:pPr>
              <w:rPr>
                <w:noProof/>
                <w:sz w:val="20"/>
                <w:szCs w:val="20"/>
              </w:rPr>
            </w:pPr>
            <w:r w:rsidRPr="00B76C3B">
              <w:rPr>
                <w:noProof/>
                <w:sz w:val="20"/>
              </w:rPr>
              <w:t>1 (3.0)</w:t>
            </w:r>
          </w:p>
        </w:tc>
        <w:tc>
          <w:tcPr>
            <w:tcW w:w="2319" w:type="dxa"/>
          </w:tcPr>
          <w:p w:rsidR="009C214E" w:rsidRPr="00B76C3B" w:rsidRDefault="00891449" w:rsidP="009C214E">
            <w:pPr>
              <w:rPr>
                <w:noProof/>
                <w:sz w:val="20"/>
                <w:szCs w:val="20"/>
              </w:rPr>
            </w:pPr>
            <w:r w:rsidRPr="00B76C3B">
              <w:rPr>
                <w:noProof/>
                <w:sz w:val="20"/>
              </w:rPr>
              <w:t>2 (2.8)</w:t>
            </w:r>
          </w:p>
        </w:tc>
      </w:tr>
      <w:tr w:rsidR="009C214E">
        <w:trPr>
          <w:trHeight w:val="234"/>
        </w:trPr>
        <w:tc>
          <w:tcPr>
            <w:tcW w:w="4292" w:type="dxa"/>
          </w:tcPr>
          <w:p w:rsidR="009C214E" w:rsidRPr="00B76C3B" w:rsidRDefault="00891449" w:rsidP="009C214E">
            <w:pPr>
              <w:rPr>
                <w:noProof/>
                <w:sz w:val="20"/>
                <w:szCs w:val="20"/>
              </w:rPr>
            </w:pPr>
            <w:r w:rsidRPr="00B76C3B">
              <w:rPr>
                <w:noProof/>
                <w:sz w:val="20"/>
              </w:rPr>
              <w:t>Lost to follow-up</w:t>
            </w:r>
          </w:p>
        </w:tc>
        <w:tc>
          <w:tcPr>
            <w:tcW w:w="2138" w:type="dxa"/>
          </w:tcPr>
          <w:p w:rsidR="009C214E" w:rsidRPr="00B76C3B" w:rsidRDefault="00891449" w:rsidP="009C214E">
            <w:pPr>
              <w:rPr>
                <w:noProof/>
                <w:sz w:val="20"/>
                <w:szCs w:val="20"/>
              </w:rPr>
            </w:pPr>
            <w:r w:rsidRPr="00B76C3B">
              <w:rPr>
                <w:noProof/>
                <w:sz w:val="20"/>
              </w:rPr>
              <w:t>2 (6.1)</w:t>
            </w:r>
          </w:p>
        </w:tc>
        <w:tc>
          <w:tcPr>
            <w:tcW w:w="2319" w:type="dxa"/>
          </w:tcPr>
          <w:p w:rsidR="009C214E" w:rsidRPr="00B76C3B" w:rsidRDefault="00891449" w:rsidP="009C214E">
            <w:pPr>
              <w:rPr>
                <w:noProof/>
                <w:sz w:val="20"/>
                <w:szCs w:val="20"/>
              </w:rPr>
            </w:pPr>
            <w:r w:rsidRPr="00B76C3B">
              <w:rPr>
                <w:noProof/>
                <w:sz w:val="20"/>
              </w:rPr>
              <w:t>1 (1.4)</w:t>
            </w:r>
          </w:p>
        </w:tc>
      </w:tr>
      <w:tr w:rsidR="009C214E">
        <w:trPr>
          <w:trHeight w:val="248"/>
        </w:trPr>
        <w:tc>
          <w:tcPr>
            <w:tcW w:w="4292" w:type="dxa"/>
          </w:tcPr>
          <w:p w:rsidR="009C214E" w:rsidRPr="00B76C3B" w:rsidRDefault="00891449" w:rsidP="009C214E">
            <w:pPr>
              <w:rPr>
                <w:noProof/>
                <w:sz w:val="20"/>
                <w:szCs w:val="20"/>
              </w:rPr>
            </w:pPr>
            <w:r w:rsidRPr="00B76C3B">
              <w:rPr>
                <w:noProof/>
                <w:sz w:val="20"/>
              </w:rPr>
              <w:t>Physician decision to discontinue therapy</w:t>
            </w:r>
          </w:p>
        </w:tc>
        <w:tc>
          <w:tcPr>
            <w:tcW w:w="2138" w:type="dxa"/>
          </w:tcPr>
          <w:p w:rsidR="009C214E" w:rsidRPr="00B76C3B" w:rsidRDefault="00891449" w:rsidP="009C214E">
            <w:pPr>
              <w:rPr>
                <w:noProof/>
                <w:sz w:val="20"/>
                <w:szCs w:val="20"/>
              </w:rPr>
            </w:pPr>
            <w:r w:rsidRPr="00B76C3B">
              <w:rPr>
                <w:noProof/>
                <w:sz w:val="20"/>
              </w:rPr>
              <w:t>2 (6.1)</w:t>
            </w:r>
          </w:p>
        </w:tc>
        <w:tc>
          <w:tcPr>
            <w:tcW w:w="2319" w:type="dxa"/>
          </w:tcPr>
          <w:p w:rsidR="009C214E" w:rsidRPr="00B76C3B" w:rsidRDefault="00891449" w:rsidP="009C214E">
            <w:pPr>
              <w:rPr>
                <w:noProof/>
                <w:sz w:val="20"/>
                <w:szCs w:val="20"/>
              </w:rPr>
            </w:pPr>
            <w:r w:rsidRPr="00B76C3B">
              <w:rPr>
                <w:noProof/>
                <w:sz w:val="20"/>
              </w:rPr>
              <w:t>1 (1.4)</w:t>
            </w:r>
          </w:p>
        </w:tc>
      </w:tr>
      <w:tr w:rsidR="009C214E">
        <w:trPr>
          <w:trHeight w:val="234"/>
        </w:trPr>
        <w:tc>
          <w:tcPr>
            <w:tcW w:w="4292" w:type="dxa"/>
          </w:tcPr>
          <w:p w:rsidR="009C214E" w:rsidRPr="00B76C3B" w:rsidRDefault="00891449" w:rsidP="009C214E">
            <w:pPr>
              <w:rPr>
                <w:noProof/>
                <w:sz w:val="20"/>
                <w:szCs w:val="20"/>
              </w:rPr>
            </w:pPr>
            <w:r w:rsidRPr="00B76C3B">
              <w:rPr>
                <w:noProof/>
                <w:sz w:val="20"/>
              </w:rPr>
              <w:t>Subject decision to discontinue therapy</w:t>
            </w:r>
          </w:p>
        </w:tc>
        <w:tc>
          <w:tcPr>
            <w:tcW w:w="2138" w:type="dxa"/>
          </w:tcPr>
          <w:p w:rsidR="009C214E" w:rsidRPr="00B76C3B" w:rsidRDefault="00891449" w:rsidP="009C214E">
            <w:pPr>
              <w:rPr>
                <w:noProof/>
                <w:sz w:val="20"/>
                <w:szCs w:val="20"/>
              </w:rPr>
            </w:pPr>
            <w:r w:rsidRPr="00B76C3B">
              <w:rPr>
                <w:noProof/>
                <w:sz w:val="20"/>
              </w:rPr>
              <w:t>2 (6.1)</w:t>
            </w:r>
          </w:p>
        </w:tc>
        <w:tc>
          <w:tcPr>
            <w:tcW w:w="2319" w:type="dxa"/>
          </w:tcPr>
          <w:p w:rsidR="009C214E" w:rsidRPr="00B76C3B" w:rsidRDefault="00891449" w:rsidP="009C214E">
            <w:pPr>
              <w:rPr>
                <w:noProof/>
                <w:sz w:val="20"/>
                <w:szCs w:val="20"/>
              </w:rPr>
            </w:pPr>
            <w:r w:rsidRPr="00B76C3B">
              <w:rPr>
                <w:noProof/>
                <w:sz w:val="20"/>
              </w:rPr>
              <w:t>18 (25.4)</w:t>
            </w:r>
          </w:p>
        </w:tc>
      </w:tr>
      <w:tr w:rsidR="009C214E">
        <w:trPr>
          <w:trHeight w:val="248"/>
        </w:trPr>
        <w:tc>
          <w:tcPr>
            <w:tcW w:w="4292" w:type="dxa"/>
          </w:tcPr>
          <w:p w:rsidR="009C214E" w:rsidRPr="00B76C3B" w:rsidRDefault="00891449" w:rsidP="009C214E">
            <w:pPr>
              <w:rPr>
                <w:noProof/>
                <w:sz w:val="20"/>
                <w:szCs w:val="20"/>
              </w:rPr>
            </w:pPr>
            <w:r w:rsidRPr="00B76C3B">
              <w:rPr>
                <w:noProof/>
                <w:sz w:val="20"/>
              </w:rPr>
              <w:t>Disease progression</w:t>
            </w:r>
          </w:p>
        </w:tc>
        <w:tc>
          <w:tcPr>
            <w:tcW w:w="2138" w:type="dxa"/>
          </w:tcPr>
          <w:p w:rsidR="009C214E" w:rsidRPr="00B76C3B" w:rsidRDefault="00891449" w:rsidP="009C214E">
            <w:pPr>
              <w:rPr>
                <w:noProof/>
                <w:sz w:val="20"/>
                <w:szCs w:val="20"/>
              </w:rPr>
            </w:pPr>
            <w:r w:rsidRPr="00B76C3B">
              <w:rPr>
                <w:noProof/>
                <w:sz w:val="20"/>
              </w:rPr>
              <w:t>6 (18.2)</w:t>
            </w:r>
          </w:p>
        </w:tc>
        <w:tc>
          <w:tcPr>
            <w:tcW w:w="2319" w:type="dxa"/>
          </w:tcPr>
          <w:p w:rsidR="009C214E" w:rsidRPr="00B76C3B" w:rsidRDefault="00891449" w:rsidP="009C214E">
            <w:pPr>
              <w:rPr>
                <w:noProof/>
                <w:sz w:val="20"/>
                <w:szCs w:val="20"/>
              </w:rPr>
            </w:pPr>
            <w:r w:rsidRPr="00B76C3B">
              <w:rPr>
                <w:noProof/>
                <w:sz w:val="20"/>
              </w:rPr>
              <w:t>5 (7.0)</w:t>
            </w:r>
          </w:p>
        </w:tc>
      </w:tr>
      <w:tr w:rsidR="009C214E">
        <w:trPr>
          <w:trHeight w:val="368"/>
        </w:trPr>
        <w:tc>
          <w:tcPr>
            <w:tcW w:w="4292" w:type="dxa"/>
          </w:tcPr>
          <w:p w:rsidR="009C214E" w:rsidRPr="00B76C3B" w:rsidRDefault="00891449" w:rsidP="009C214E">
            <w:pPr>
              <w:rPr>
                <w:noProof/>
                <w:sz w:val="20"/>
                <w:szCs w:val="20"/>
              </w:rPr>
            </w:pPr>
            <w:r w:rsidRPr="00B76C3B">
              <w:rPr>
                <w:noProof/>
                <w:sz w:val="20"/>
              </w:rPr>
              <w:t>Other</w:t>
            </w:r>
          </w:p>
        </w:tc>
        <w:tc>
          <w:tcPr>
            <w:tcW w:w="2138" w:type="dxa"/>
          </w:tcPr>
          <w:p w:rsidR="009C214E" w:rsidRPr="00B76C3B" w:rsidRDefault="00891449" w:rsidP="009C214E">
            <w:pPr>
              <w:rPr>
                <w:noProof/>
                <w:sz w:val="20"/>
                <w:szCs w:val="20"/>
              </w:rPr>
            </w:pPr>
            <w:r w:rsidRPr="00B76C3B">
              <w:rPr>
                <w:noProof/>
                <w:sz w:val="20"/>
              </w:rPr>
              <w:t>0 (0.0)</w:t>
            </w:r>
          </w:p>
        </w:tc>
        <w:tc>
          <w:tcPr>
            <w:tcW w:w="2319" w:type="dxa"/>
          </w:tcPr>
          <w:p w:rsidR="009C214E" w:rsidRPr="00B76C3B" w:rsidRDefault="00891449" w:rsidP="009C214E">
            <w:pPr>
              <w:rPr>
                <w:noProof/>
                <w:sz w:val="20"/>
                <w:szCs w:val="20"/>
              </w:rPr>
            </w:pPr>
            <w:r w:rsidRPr="00B76C3B">
              <w:rPr>
                <w:noProof/>
                <w:sz w:val="20"/>
              </w:rPr>
              <w:t>1 (1.4)</w:t>
            </w:r>
          </w:p>
        </w:tc>
      </w:tr>
    </w:tbl>
    <w:p w:rsidR="009C214E" w:rsidRDefault="00891449" w:rsidP="009C214E">
      <w:pPr>
        <w:pStyle w:val="Heading1"/>
      </w:pPr>
      <w:r>
        <w:t>Contraindications</w:t>
      </w:r>
    </w:p>
    <w:p w:rsidR="009C214E" w:rsidRDefault="00891449" w:rsidP="009C214E">
      <w:pPr>
        <w:outlineLvl w:val="0"/>
      </w:pPr>
      <w:r>
        <w:t>None listed by the manufacturer other than in women who are pregnant. See Boxed Warning below.</w:t>
      </w:r>
    </w:p>
    <w:p w:rsidR="009C214E" w:rsidRDefault="009C214E"/>
    <w:p w:rsidR="009C214E" w:rsidRDefault="00891449" w:rsidP="009C214E">
      <w:pPr>
        <w:pStyle w:val="Heading1"/>
      </w:pPr>
      <w:r>
        <w:t>Warnings and Precautions</w:t>
      </w:r>
    </w:p>
    <w:p w:rsidR="009C214E" w:rsidRDefault="00891449" w:rsidP="009C214E">
      <w:r w:rsidRPr="00C1364F">
        <w:rPr>
          <w:b/>
        </w:rPr>
        <w:t>Boxed Warning</w:t>
      </w:r>
      <w:r>
        <w:t>: Vismodegib capsules can cause fetal harm when administered to a pregnant woman. Vismodegib is teratogenic, embryotoxic, and fetotoxic in rats at maternal exposures lower than the human exposures at the recommended dose of 150 mg/day. In rats, malformations included craniofacial anomalies, open perineum, and absent or fused digits. Pregnancy status must be verified prior to the initiation of vismodegib. Advise male and female patients of the risks of embryo-fetal death and severe birth defects and the need for contraception during and after treatment. If vismodegib is used during pregnancy or if the patient becomes pregnant while taking (or for a male patient, if his female partner is exposed to) vismodegib, the patient should be apprised of the potential hazard to the fetus</w:t>
      </w:r>
      <w:r w:rsidRPr="00C1364F">
        <w:rPr>
          <w:vertAlign w:val="superscript"/>
        </w:rPr>
        <w:t>3</w:t>
      </w:r>
      <w:r>
        <w:t xml:space="preserve">. </w:t>
      </w:r>
    </w:p>
    <w:p w:rsidR="009C214E" w:rsidRDefault="009C214E" w:rsidP="009C214E">
      <w:pPr>
        <w:pStyle w:val="ListParagraph"/>
      </w:pPr>
    </w:p>
    <w:p w:rsidR="009C214E" w:rsidRDefault="00891449" w:rsidP="009C214E">
      <w:r w:rsidRPr="00C1364F">
        <w:rPr>
          <w:b/>
        </w:rPr>
        <w:t>Blood Donations</w:t>
      </w:r>
      <w:r>
        <w:t>:  Advise patients not to donate blood or blood products while receiving vismodegib and for at least 7 months after the last dose of vismodegib</w:t>
      </w:r>
      <w:r w:rsidRPr="00C1364F">
        <w:rPr>
          <w:vertAlign w:val="superscript"/>
        </w:rPr>
        <w:t>3</w:t>
      </w:r>
      <w:r>
        <w:t>.</w:t>
      </w:r>
    </w:p>
    <w:p w:rsidR="009C214E" w:rsidRDefault="009C214E" w:rsidP="009C214E">
      <w:pPr>
        <w:rPr>
          <w:rFonts w:ascii="Arial" w:hAnsi="Arial" w:cs="Arial"/>
          <w:sz w:val="20"/>
        </w:rPr>
      </w:pPr>
    </w:p>
    <w:p w:rsidR="009C214E" w:rsidRDefault="00891449" w:rsidP="009C214E">
      <w:pPr>
        <w:pStyle w:val="Heading1"/>
      </w:pPr>
      <w:r>
        <w:lastRenderedPageBreak/>
        <w:t>Special Populations</w:t>
      </w:r>
    </w:p>
    <w:p w:rsidR="009C214E" w:rsidRDefault="00891449" w:rsidP="009C214E">
      <w:pPr>
        <w:outlineLvl w:val="0"/>
        <w:rPr>
          <w:b/>
        </w:rPr>
      </w:pPr>
      <w:r>
        <w:rPr>
          <w:b/>
        </w:rPr>
        <w:t xml:space="preserve">Pregnancy Category: </w:t>
      </w:r>
      <w:r w:rsidRPr="00DD6445">
        <w:t>D</w:t>
      </w:r>
    </w:p>
    <w:p w:rsidR="009C214E" w:rsidRDefault="009C214E" w:rsidP="009C214E">
      <w:pPr>
        <w:rPr>
          <w:b/>
        </w:rPr>
      </w:pPr>
    </w:p>
    <w:p w:rsidR="009C214E" w:rsidRDefault="00891449" w:rsidP="009C214E">
      <w:pPr>
        <w:outlineLvl w:val="0"/>
      </w:pPr>
      <w:r>
        <w:rPr>
          <w:b/>
        </w:rPr>
        <w:t>Nursing Mothers:</w:t>
      </w:r>
      <w:r w:rsidRPr="003A782E">
        <w:t xml:space="preserve"> </w:t>
      </w:r>
    </w:p>
    <w:p w:rsidR="009C214E" w:rsidRPr="008E254E" w:rsidRDefault="00891449" w:rsidP="009C214E">
      <w:pPr>
        <w:outlineLvl w:val="0"/>
      </w:pPr>
      <w:r w:rsidRPr="008E254E">
        <w:t>It is unknown if vismodegib is excreted in breast milk,</w:t>
      </w:r>
      <w:r>
        <w:t xml:space="preserve"> therefore infant risk cannot be ruled out. </w:t>
      </w:r>
    </w:p>
    <w:p w:rsidR="009C214E" w:rsidRDefault="009C214E" w:rsidP="009C214E">
      <w:pPr>
        <w:rPr>
          <w:b/>
        </w:rPr>
      </w:pPr>
    </w:p>
    <w:p w:rsidR="009C214E" w:rsidRDefault="00891449" w:rsidP="009C214E">
      <w:pPr>
        <w:outlineLvl w:val="0"/>
        <w:rPr>
          <w:b/>
        </w:rPr>
      </w:pPr>
      <w:r w:rsidRPr="00F27733">
        <w:rPr>
          <w:b/>
        </w:rPr>
        <w:t>Renal Impairment</w:t>
      </w:r>
    </w:p>
    <w:p w:rsidR="009C214E" w:rsidRDefault="00891449" w:rsidP="009C214E">
      <w:pPr>
        <w:outlineLvl w:val="0"/>
      </w:pPr>
      <w:r>
        <w:t xml:space="preserve">Vismodegib has not been studied in patients with renal </w:t>
      </w:r>
      <w:r w:rsidR="00072F44">
        <w:t>impairment</w:t>
      </w:r>
      <w:r>
        <w:t>.</w:t>
      </w:r>
      <w:r w:rsidR="00345C49">
        <w:t xml:space="preserve">  Population pharmacokinetics found that a creatinine clearance of 30 to 80 mL/min did not have a clinically meaningful influence on the systemic exposure of vismodegib.</w:t>
      </w:r>
    </w:p>
    <w:p w:rsidR="009C214E" w:rsidRDefault="009C214E" w:rsidP="009C214E"/>
    <w:p w:rsidR="009C214E" w:rsidRDefault="00891449" w:rsidP="009C214E">
      <w:pPr>
        <w:outlineLvl w:val="0"/>
        <w:rPr>
          <w:b/>
        </w:rPr>
      </w:pPr>
      <w:r w:rsidRPr="00F27733">
        <w:rPr>
          <w:b/>
        </w:rPr>
        <w:t>Hepatic Impairment</w:t>
      </w:r>
    </w:p>
    <w:p w:rsidR="009C214E" w:rsidRDefault="00891449" w:rsidP="009C214E">
      <w:pPr>
        <w:outlineLvl w:val="0"/>
      </w:pPr>
      <w:r>
        <w:t xml:space="preserve">Vismodegib has not been studied in patients with hepatic impairment. </w:t>
      </w:r>
      <w:r w:rsidR="00A67B4A">
        <w:t xml:space="preserve"> In the phase 2 clinical trial patients were </w:t>
      </w:r>
      <w:r w:rsidR="00E56A0D" w:rsidRPr="00230BCB">
        <w:t>ex</w:t>
      </w:r>
      <w:r w:rsidR="00A67B4A" w:rsidRPr="00230BCB">
        <w:t xml:space="preserve">cluded if they had an AST and ALT </w:t>
      </w:r>
      <w:r w:rsidR="00E56A0D" w:rsidRPr="00230BCB">
        <w:t>&gt;</w:t>
      </w:r>
      <w:r w:rsidR="00A67B4A" w:rsidRPr="00230BCB">
        <w:t xml:space="preserve"> 3 times the upper limit of normal and a total bilirubin </w:t>
      </w:r>
      <w:r w:rsidR="00E56A0D" w:rsidRPr="00230BCB">
        <w:t>&gt;</w:t>
      </w:r>
      <w:r w:rsidR="00A67B4A" w:rsidRPr="00230BCB">
        <w:t xml:space="preserve"> 1.5 times the upper limit of normal (or </w:t>
      </w:r>
      <w:r w:rsidR="00E56A0D" w:rsidRPr="00230BCB">
        <w:t>&gt;</w:t>
      </w:r>
      <w:r w:rsidR="00A67B4A" w:rsidRPr="00230BCB">
        <w:t xml:space="preserve"> 3 times the upper</w:t>
      </w:r>
      <w:r w:rsidR="00A67B4A">
        <w:t xml:space="preserve"> limit of normal for patients with Gilbert disease).</w:t>
      </w:r>
    </w:p>
    <w:p w:rsidR="009C214E" w:rsidRDefault="009C214E" w:rsidP="009C214E"/>
    <w:p w:rsidR="009C214E" w:rsidRPr="00C1364F" w:rsidRDefault="00891449" w:rsidP="009C214E">
      <w:pPr>
        <w:outlineLvl w:val="0"/>
        <w:rPr>
          <w:b/>
        </w:rPr>
      </w:pPr>
      <w:r w:rsidRPr="00C1364F">
        <w:rPr>
          <w:b/>
        </w:rPr>
        <w:t>Pediatrics</w:t>
      </w:r>
    </w:p>
    <w:p w:rsidR="009C214E" w:rsidRDefault="00891449" w:rsidP="009C214E">
      <w:r>
        <w:t xml:space="preserve">The safety and efficacy of vismodegib in pediatric populations have not been well established. In animal studies closure of the epiphyseal growth plate and abnormalities in the development of incisor teeth (degeneration of </w:t>
      </w:r>
      <w:proofErr w:type="spellStart"/>
      <w:r>
        <w:t>odontoblasts</w:t>
      </w:r>
      <w:proofErr w:type="spellEnd"/>
      <w:r>
        <w:t xml:space="preserve">, formation of fluid-filled cysts in dental pulp, ossification of the root canal, and hemorrhage resulting in breakage or tooth loss). Because inhibition of the </w:t>
      </w:r>
      <w:proofErr w:type="spellStart"/>
      <w:r>
        <w:t>Hh</w:t>
      </w:r>
      <w:proofErr w:type="spellEnd"/>
      <w:r>
        <w:t xml:space="preserve"> pathway may have application in the treatment of medulloblastoma, pharmacokinetics, efficacy, and toxicities are being assessed in an ongoing Phase II study of its use in pediatric patients aged 3 to 21 years who have medulloblastoma.</w:t>
      </w:r>
      <w:r w:rsidRPr="00C1364F">
        <w:rPr>
          <w:vertAlign w:val="superscript"/>
        </w:rPr>
        <w:t>9</w:t>
      </w:r>
    </w:p>
    <w:p w:rsidR="009C214E" w:rsidRDefault="009C214E" w:rsidP="009C214E"/>
    <w:p w:rsidR="009C214E" w:rsidRPr="00C1364F" w:rsidRDefault="00891449" w:rsidP="009C214E">
      <w:pPr>
        <w:outlineLvl w:val="0"/>
        <w:rPr>
          <w:b/>
        </w:rPr>
      </w:pPr>
      <w:r w:rsidRPr="00C1364F">
        <w:rPr>
          <w:b/>
        </w:rPr>
        <w:t>Geriatrics</w:t>
      </w:r>
    </w:p>
    <w:p w:rsidR="009C214E" w:rsidRDefault="00891449" w:rsidP="009C214E">
      <w:r>
        <w:t xml:space="preserve">To date, there have been an insufficient number of patients &gt; 65 years of age in studies of vismodegib to determine whether there are any differences in the pharmacokinetics or safety and efficacy in the geriatric population. Because the majority of BCCs occur in the older population, this group will need to be assessed in the </w:t>
      </w:r>
      <w:proofErr w:type="spellStart"/>
      <w:r>
        <w:t>postmarketing</w:t>
      </w:r>
      <w:proofErr w:type="spellEnd"/>
      <w:r>
        <w:t xml:space="preserve"> phase.</w:t>
      </w:r>
    </w:p>
    <w:p w:rsidR="00E3065C" w:rsidRDefault="00E3065C" w:rsidP="009C214E"/>
    <w:p w:rsidR="00E3065C" w:rsidRDefault="00E3065C" w:rsidP="009C214E">
      <w:r>
        <w:rPr>
          <w:b/>
        </w:rPr>
        <w:t>Females of Reproductive Potential and Males</w:t>
      </w:r>
    </w:p>
    <w:p w:rsidR="00E3065C" w:rsidRDefault="00E3065C" w:rsidP="009C214E">
      <w:r>
        <w:t>Vismodegib can cause harm to the embryo or fetus if administered during pregnancy.  Patients should be counseled about pregnancy planning and prevention and advised to contact their provider if they suspect they (or, if male, their partner) may be pregnant.</w:t>
      </w:r>
    </w:p>
    <w:p w:rsidR="00E3065C" w:rsidRDefault="00E3065C" w:rsidP="009C214E"/>
    <w:p w:rsidR="00E3065C" w:rsidRDefault="00E3065C" w:rsidP="009C214E">
      <w:r>
        <w:t>Female patients</w:t>
      </w:r>
    </w:p>
    <w:p w:rsidR="00E3065C" w:rsidRDefault="00E3065C" w:rsidP="009C214E">
      <w:r>
        <w:t>Determine pregnancy status within 7 days of initiating therapy in females of reproductive potential.  Initiate a highly effective form of contraception (failure rate &lt;1%) prior to the first dose.  Continue contraception during therapy and for 7 months after the last dose of vismodegib.  Advise patients who become pregnant during therapy and during the 7 months after the last dose to report the pregnancy to the Genentech Adverse Event Line at 1-888-835-2555.  Encourage pregnant females to participate in the vismodegib pregnancy pharmacovigilance program by calling the same number.</w:t>
      </w:r>
    </w:p>
    <w:p w:rsidR="00E3065C" w:rsidRDefault="00E3065C" w:rsidP="009C214E"/>
    <w:p w:rsidR="00E3065C" w:rsidRDefault="00E3065C" w:rsidP="009C214E">
      <w:r>
        <w:t>Amenorrhea has been observed in clinical trials in females of reproductive potential, and reversibility is unknown.</w:t>
      </w:r>
    </w:p>
    <w:p w:rsidR="00E3065C" w:rsidRDefault="00E3065C" w:rsidP="009C214E"/>
    <w:p w:rsidR="00E3065C" w:rsidRDefault="00E3065C" w:rsidP="009C214E">
      <w:r>
        <w:t>Male Patients</w:t>
      </w:r>
    </w:p>
    <w:p w:rsidR="00E3065C" w:rsidRDefault="00E3065C" w:rsidP="009C214E">
      <w:r>
        <w:lastRenderedPageBreak/>
        <w:t>Male patients should use condoms with spermicide, even after vasectomy, during</w:t>
      </w:r>
      <w:r w:rsidR="00072F44">
        <w:t xml:space="preserve"> sexual intercourse with female</w:t>
      </w:r>
      <w:r>
        <w:t xml:space="preserve"> partners of childbearing potential while being treated with vismodegib and for 2 months after the last dose to avoid exposure of an embryo or fetus to vismodegib.</w:t>
      </w:r>
    </w:p>
    <w:p w:rsidR="00E3065C" w:rsidRPr="00E3065C" w:rsidRDefault="00E3065C" w:rsidP="009C214E">
      <w:pPr>
        <w:rPr>
          <w:rFonts w:ascii="Arial" w:hAnsi="Arial" w:cs="Arial"/>
          <w:sz w:val="20"/>
        </w:rPr>
      </w:pPr>
    </w:p>
    <w:p w:rsidR="009C214E" w:rsidRDefault="00891449" w:rsidP="009C214E">
      <w:pPr>
        <w:pStyle w:val="Heading1"/>
      </w:pPr>
      <w:proofErr w:type="spellStart"/>
      <w:r>
        <w:t>Postmarket</w:t>
      </w:r>
      <w:r w:rsidR="000D1EF2">
        <w:t>ing</w:t>
      </w:r>
      <w:proofErr w:type="spellEnd"/>
      <w:r w:rsidR="000D1EF2">
        <w:t xml:space="preserve"> Safety Experience</w:t>
      </w:r>
    </w:p>
    <w:p w:rsidR="009C214E" w:rsidRPr="00F65446" w:rsidRDefault="00891449" w:rsidP="009C214E">
      <w:r>
        <w:t xml:space="preserve">There </w:t>
      </w:r>
      <w:r w:rsidR="00DA47A6">
        <w:t>has</w:t>
      </w:r>
      <w:r>
        <w:t xml:space="preserve"> been case reports published regarding vismodegib and development of kerato</w:t>
      </w:r>
      <w:r w:rsidR="00053AA4">
        <w:t>a</w:t>
      </w:r>
      <w:r>
        <w:t xml:space="preserve">canthomas (KA). </w:t>
      </w:r>
      <w:r w:rsidR="00DA47A6">
        <w:t xml:space="preserve"> </w:t>
      </w:r>
      <w:r w:rsidRPr="00AD4A27">
        <w:t xml:space="preserve">The first case involves rapid onset of KA on the arm after 2 weeks of vismodegib treatment for locally advanced </w:t>
      </w:r>
      <w:r>
        <w:t xml:space="preserve">BCC on lower eyelid and the </w:t>
      </w:r>
      <w:r w:rsidRPr="00AD4A27">
        <w:t>second case involves a new KA development on the brow after 7 weeks of vismodegib treatment for locally advanced BCC on the medial canthus</w:t>
      </w:r>
      <w:r>
        <w:t xml:space="preserve"> </w:t>
      </w:r>
      <w:r>
        <w:rPr>
          <w:vertAlign w:val="superscript"/>
        </w:rPr>
        <w:t>10</w:t>
      </w:r>
      <w:r w:rsidRPr="00AD4A27">
        <w:t xml:space="preserve">. </w:t>
      </w:r>
    </w:p>
    <w:p w:rsidR="009C214E" w:rsidRDefault="009C214E" w:rsidP="009C214E"/>
    <w:p w:rsidR="009C214E" w:rsidRDefault="00891449" w:rsidP="009C214E">
      <w:pPr>
        <w:pStyle w:val="Heading1"/>
      </w:pPr>
      <w:r>
        <w:t>Look-alike / Sound-alike (LA / SA) Error Risk Potential</w:t>
      </w:r>
    </w:p>
    <w:p w:rsidR="009C214E" w:rsidRDefault="009C214E">
      <w:pPr>
        <w:pStyle w:val="BodyText"/>
      </w:pPr>
    </w:p>
    <w:p w:rsidR="009C214E" w:rsidRDefault="00891449">
      <w:r w:rsidRPr="00BA550F">
        <w:t xml:space="preserve">As part of a JCAHO standard, LASA names are assessed during the formulary selection of drugs.  Based on clinical judgment and an evaluation of LASA information from </w:t>
      </w:r>
      <w:r>
        <w:t>three</w:t>
      </w:r>
      <w:r w:rsidRPr="00BA550F">
        <w:t xml:space="preserve"> data sources (Lexi-Comp, First Databank, and ISMP Confused Drug Name List), the following drug names may cause LASA confusion</w:t>
      </w:r>
      <w:r>
        <w:t>:</w:t>
      </w:r>
    </w:p>
    <w:p w:rsidR="009C214E" w:rsidRDefault="009C214E" w:rsidP="009C214E"/>
    <w:p w:rsidR="009C214E" w:rsidRDefault="00891449" w:rsidP="009C214E">
      <w:r>
        <w:t>Sound-alike/look-alike issues:</w:t>
      </w:r>
    </w:p>
    <w:p w:rsidR="009C214E" w:rsidRDefault="00891449" w:rsidP="009C214E">
      <w:r>
        <w:t xml:space="preserve">Vismodegib may be confused with </w:t>
      </w:r>
      <w:proofErr w:type="spellStart"/>
      <w:r>
        <w:t>vandetanib</w:t>
      </w:r>
      <w:proofErr w:type="spellEnd"/>
      <w:r>
        <w:t xml:space="preserve">, </w:t>
      </w:r>
      <w:proofErr w:type="spellStart"/>
      <w:r>
        <w:t>vemurafenib</w:t>
      </w:r>
      <w:proofErr w:type="spellEnd"/>
      <w:r w:rsidR="00C21F12">
        <w:t xml:space="preserve">, </w:t>
      </w:r>
      <w:proofErr w:type="spellStart"/>
      <w:r w:rsidR="00C21F12">
        <w:t>Vepesid</w:t>
      </w:r>
      <w:proofErr w:type="spellEnd"/>
    </w:p>
    <w:p w:rsidR="009C214E" w:rsidRDefault="009C214E" w:rsidP="009C214E"/>
    <w:p w:rsidR="009C214E" w:rsidRDefault="00891449" w:rsidP="009C214E">
      <w:pPr>
        <w:outlineLvl w:val="0"/>
      </w:pPr>
      <w:r>
        <w:t>Erivedge</w:t>
      </w:r>
      <w:r w:rsidR="00C21F12">
        <w:t xml:space="preserve"> may be confused with Erbitux, </w:t>
      </w:r>
      <w:proofErr w:type="spellStart"/>
      <w:r w:rsidR="00C21F12">
        <w:t>e</w:t>
      </w:r>
      <w:r>
        <w:t>ribulin</w:t>
      </w:r>
      <w:proofErr w:type="spellEnd"/>
      <w:r w:rsidR="00C21F12">
        <w:t>,</w:t>
      </w:r>
      <w:r>
        <w:t xml:space="preserve"> </w:t>
      </w:r>
      <w:proofErr w:type="spellStart"/>
      <w:r w:rsidR="00C21F12">
        <w:t>efavirenz</w:t>
      </w:r>
      <w:proofErr w:type="spellEnd"/>
    </w:p>
    <w:p w:rsidR="009C214E" w:rsidRDefault="009C214E" w:rsidP="009C214E"/>
    <w:p w:rsidR="009C214E" w:rsidRPr="00F52102" w:rsidRDefault="00891449" w:rsidP="009C214E">
      <w:pPr>
        <w:pStyle w:val="Heading2"/>
        <w:rPr>
          <w:sz w:val="22"/>
          <w:szCs w:val="22"/>
          <w:u w:val="single"/>
        </w:rPr>
      </w:pPr>
      <w:r w:rsidRPr="00F52102">
        <w:rPr>
          <w:sz w:val="22"/>
          <w:szCs w:val="22"/>
          <w:u w:val="single"/>
        </w:rPr>
        <w:t>Drug-Drug Interactions</w:t>
      </w:r>
      <w:r w:rsidRPr="00F52102">
        <w:rPr>
          <w:sz w:val="22"/>
          <w:szCs w:val="22"/>
          <w:u w:val="single"/>
          <w:vertAlign w:val="superscript"/>
        </w:rPr>
        <w:t>3</w:t>
      </w:r>
    </w:p>
    <w:p w:rsidR="009C214E" w:rsidRPr="00D37F25" w:rsidRDefault="00891449" w:rsidP="009C214E">
      <w:pPr>
        <w:pStyle w:val="NormalWeb"/>
        <w:rPr>
          <w:color w:val="auto"/>
          <w:sz w:val="22"/>
          <w:szCs w:val="22"/>
        </w:rPr>
      </w:pPr>
      <w:r w:rsidRPr="00D37F25">
        <w:rPr>
          <w:color w:val="auto"/>
          <w:sz w:val="22"/>
          <w:szCs w:val="22"/>
        </w:rPr>
        <w:t>Vismodegib is a substrate of P-glycoprotein (P-</w:t>
      </w:r>
      <w:proofErr w:type="spellStart"/>
      <w:r w:rsidRPr="00D37F25">
        <w:rPr>
          <w:color w:val="auto"/>
          <w:sz w:val="22"/>
          <w:szCs w:val="22"/>
        </w:rPr>
        <w:t>gp</w:t>
      </w:r>
      <w:proofErr w:type="spellEnd"/>
      <w:r w:rsidRPr="00D37F25">
        <w:rPr>
          <w:color w:val="auto"/>
          <w:sz w:val="22"/>
          <w:szCs w:val="22"/>
        </w:rPr>
        <w:t xml:space="preserve">). When vismodegib is </w:t>
      </w:r>
      <w:proofErr w:type="spellStart"/>
      <w:r w:rsidRPr="00D37F25">
        <w:rPr>
          <w:color w:val="auto"/>
          <w:sz w:val="22"/>
          <w:szCs w:val="22"/>
        </w:rPr>
        <w:t>coadministered</w:t>
      </w:r>
      <w:proofErr w:type="spellEnd"/>
      <w:r w:rsidRPr="00D37F25">
        <w:rPr>
          <w:color w:val="auto"/>
          <w:sz w:val="22"/>
          <w:szCs w:val="22"/>
        </w:rPr>
        <w:t xml:space="preserve"> with drugs that inhibit P-</w:t>
      </w:r>
      <w:proofErr w:type="spellStart"/>
      <w:r w:rsidRPr="00D37F25">
        <w:rPr>
          <w:color w:val="auto"/>
          <w:sz w:val="22"/>
          <w:szCs w:val="22"/>
        </w:rPr>
        <w:t>gp</w:t>
      </w:r>
      <w:proofErr w:type="spellEnd"/>
      <w:r w:rsidRPr="00D37F25">
        <w:rPr>
          <w:color w:val="auto"/>
          <w:sz w:val="22"/>
          <w:szCs w:val="22"/>
        </w:rPr>
        <w:t xml:space="preserve"> (e.g. clarithromycin, erythromycin, </w:t>
      </w:r>
      <w:proofErr w:type="gramStart"/>
      <w:r w:rsidRPr="00D37F25">
        <w:rPr>
          <w:color w:val="auto"/>
          <w:sz w:val="22"/>
          <w:szCs w:val="22"/>
        </w:rPr>
        <w:t>azithromycin</w:t>
      </w:r>
      <w:proofErr w:type="gramEnd"/>
      <w:r w:rsidRPr="00D37F25">
        <w:rPr>
          <w:color w:val="auto"/>
          <w:sz w:val="22"/>
          <w:szCs w:val="22"/>
        </w:rPr>
        <w:t>), systemic exposure of vismodegib and incidence of adverse events of vismodegib may be increased.</w:t>
      </w:r>
    </w:p>
    <w:p w:rsidR="009C214E" w:rsidRDefault="00891449" w:rsidP="009C214E">
      <w:pPr>
        <w:pStyle w:val="NormalWeb"/>
        <w:rPr>
          <w:color w:val="auto"/>
          <w:sz w:val="22"/>
          <w:szCs w:val="22"/>
        </w:rPr>
      </w:pPr>
      <w:r w:rsidRPr="00D37F25">
        <w:rPr>
          <w:color w:val="auto"/>
          <w:sz w:val="22"/>
          <w:szCs w:val="22"/>
        </w:rPr>
        <w:t>Drugs that alter the pH of the upper GI tract (e.g. proton pump inhibitors, H</w:t>
      </w:r>
      <w:r w:rsidRPr="00D37F25">
        <w:rPr>
          <w:color w:val="auto"/>
          <w:sz w:val="22"/>
          <w:szCs w:val="22"/>
          <w:vertAlign w:val="subscript"/>
        </w:rPr>
        <w:t>2</w:t>
      </w:r>
      <w:r w:rsidRPr="00D37F25">
        <w:rPr>
          <w:color w:val="auto"/>
          <w:sz w:val="22"/>
          <w:szCs w:val="22"/>
        </w:rPr>
        <w:t xml:space="preserve">-receptor antagonists, and antacids) may alter the solubility of vismodegib and reduce its bioavailability. However, no formal clinical study has been conducted to evaluate the effect of gastric pH altering agents on the systemic exposure of vismodegib. When administered concurrently systemic exposure of vismodegib may be decreased and the effect on efficacy of vismodegib is unknown. </w:t>
      </w:r>
    </w:p>
    <w:p w:rsidR="009C214E" w:rsidRPr="00D37F25" w:rsidRDefault="00891449" w:rsidP="009C214E">
      <w:pPr>
        <w:pStyle w:val="NormalWeb"/>
        <w:rPr>
          <w:color w:val="auto"/>
          <w:sz w:val="22"/>
          <w:szCs w:val="22"/>
        </w:rPr>
      </w:pPr>
      <w:r>
        <w:rPr>
          <w:color w:val="auto"/>
          <w:sz w:val="22"/>
          <w:szCs w:val="22"/>
        </w:rPr>
        <w:t>Vismodegib is highly protein bound. When co-administered with drugs that are also protein bound, there is potential for displacement.  When administered</w:t>
      </w:r>
      <w:r w:rsidR="008C782C">
        <w:rPr>
          <w:color w:val="auto"/>
          <w:sz w:val="22"/>
          <w:szCs w:val="22"/>
        </w:rPr>
        <w:t xml:space="preserve"> concurrently there is potenti</w:t>
      </w:r>
      <w:r>
        <w:rPr>
          <w:color w:val="auto"/>
          <w:sz w:val="22"/>
          <w:szCs w:val="22"/>
        </w:rPr>
        <w:t xml:space="preserve">al for displacement. Monitor closely for agents with a narrow therapeutic index that are highly protein bound, such as warfarin which may result is warfarin displacement and elevations in INR. </w:t>
      </w:r>
    </w:p>
    <w:p w:rsidR="009C214E" w:rsidRDefault="00891449">
      <w:r>
        <w:t xml:space="preserve">No dose modifications due to potential drug-drug interactions have been recommended. </w:t>
      </w:r>
    </w:p>
    <w:p w:rsidR="009C214E" w:rsidRDefault="009C214E"/>
    <w:p w:rsidR="009C214E" w:rsidRPr="00B72F85" w:rsidRDefault="00891449" w:rsidP="009C214E">
      <w:pPr>
        <w:pStyle w:val="Heading2"/>
        <w:rPr>
          <w:sz w:val="22"/>
          <w:szCs w:val="22"/>
          <w:u w:val="single"/>
        </w:rPr>
      </w:pPr>
      <w:r w:rsidRPr="00B72F85">
        <w:rPr>
          <w:sz w:val="22"/>
          <w:szCs w:val="22"/>
          <w:u w:val="single"/>
        </w:rPr>
        <w:t>Drug-Lab Interactions</w:t>
      </w:r>
    </w:p>
    <w:p w:rsidR="009C214E" w:rsidRPr="006019A5" w:rsidRDefault="00891449" w:rsidP="009C214E">
      <w:pPr>
        <w:outlineLvl w:val="0"/>
      </w:pPr>
      <w:r>
        <w:t>None noted.</w:t>
      </w:r>
    </w:p>
    <w:p w:rsidR="009C214E" w:rsidRDefault="009C214E">
      <w:pPr>
        <w:pStyle w:val="BodyText"/>
        <w:rPr>
          <w:color w:val="000000"/>
          <w:u w:val="single"/>
        </w:rPr>
      </w:pPr>
    </w:p>
    <w:p w:rsidR="009C214E" w:rsidRPr="00507744" w:rsidRDefault="00891449" w:rsidP="009C214E">
      <w:pPr>
        <w:pStyle w:val="Heading1"/>
        <w:rPr>
          <w:sz w:val="20"/>
        </w:rPr>
      </w:pPr>
      <w:r>
        <w:t>Acquisition</w:t>
      </w:r>
      <w:r w:rsidRPr="007D447A">
        <w:rPr>
          <w:sz w:val="20"/>
        </w:rPr>
        <w:t xml:space="preserve"> </w:t>
      </w:r>
      <w:r w:rsidRPr="007A614D">
        <w:rPr>
          <w:szCs w:val="22"/>
        </w:rPr>
        <w:t>Costs</w:t>
      </w:r>
    </w:p>
    <w:p w:rsidR="009C214E" w:rsidRDefault="00367522" w:rsidP="009C214E">
      <w:r>
        <w:t>Refer to VA pricing sources for updated information.</w:t>
      </w:r>
    </w:p>
    <w:p w:rsidR="009C214E" w:rsidRDefault="00891449" w:rsidP="004F6C96">
      <w:pPr>
        <w:pStyle w:val="Heading1"/>
        <w:spacing w:before="0" w:after="0"/>
      </w:pPr>
      <w:bookmarkStart w:id="1" w:name="_GoBack"/>
      <w:bookmarkEnd w:id="1"/>
      <w:r>
        <w:lastRenderedPageBreak/>
        <w:t>Pharmacoeconomic Analysis</w:t>
      </w:r>
    </w:p>
    <w:p w:rsidR="009C214E" w:rsidRDefault="00891449" w:rsidP="009C214E">
      <w:r>
        <w:t xml:space="preserve">The estimated cost of non-melanoma skin cancer in patients with Medicare coverage is approximately $426 million per year, which ranks as the fifth most costly cancer in this population. </w:t>
      </w:r>
      <w:r w:rsidR="00BC3FB7">
        <w:t xml:space="preserve"> </w:t>
      </w:r>
      <w:r>
        <w:t xml:space="preserve">The overall cost in the United States is approximately $650 million annually. </w:t>
      </w:r>
      <w:r w:rsidR="00BC3FB7">
        <w:t xml:space="preserve"> </w:t>
      </w:r>
      <w:r>
        <w:t xml:space="preserve">Most costs are associated with services received during the physician’s office visit, with the dermatologist managing up to 82% of the visits in some studies through office-based surgical procedures. </w:t>
      </w:r>
      <w:r w:rsidR="00BC3FB7">
        <w:t xml:space="preserve"> </w:t>
      </w:r>
      <w:r>
        <w:t xml:space="preserve">However, economic analyses have only looked at the treatment of early-stage </w:t>
      </w:r>
      <w:proofErr w:type="spellStart"/>
      <w:r>
        <w:t>nonmelanoma</w:t>
      </w:r>
      <w:proofErr w:type="spellEnd"/>
      <w:r>
        <w:t xml:space="preserve"> skin cancers in which surgical excision is used, sometimes in combination with radiation or topical therapy. </w:t>
      </w:r>
      <w:r w:rsidR="00BC3FB7">
        <w:t xml:space="preserve"> </w:t>
      </w:r>
      <w:r>
        <w:t xml:space="preserve">No analysis is currently available for treatment in those patients with advanced cancer that is unresectable. </w:t>
      </w:r>
      <w:r w:rsidR="00BC3FB7">
        <w:t xml:space="preserve"> </w:t>
      </w:r>
      <w:r>
        <w:t xml:space="preserve">It is difficult to systematically assess the economics of advanced BCC due to the lack of histology-specific International Classification of Diseases, Ninth Revision, codes for BCC until October 2011. </w:t>
      </w:r>
      <w:r w:rsidR="00BC3FB7">
        <w:t xml:space="preserve"> </w:t>
      </w:r>
      <w:r>
        <w:t>The introduction of vismodegib is a new area in which to look at economic impact because there is nothing to compare it with beyond symptomatic management</w:t>
      </w:r>
      <w:r w:rsidRPr="00C1364F">
        <w:rPr>
          <w:vertAlign w:val="superscript"/>
        </w:rPr>
        <w:t>1</w:t>
      </w:r>
      <w:r>
        <w:rPr>
          <w:vertAlign w:val="superscript"/>
        </w:rPr>
        <w:t>1</w:t>
      </w:r>
      <w:r>
        <w:t xml:space="preserve">. </w:t>
      </w:r>
    </w:p>
    <w:p w:rsidR="009C214E" w:rsidRDefault="00891449" w:rsidP="009C214E">
      <w:pPr>
        <w:pStyle w:val="Heading1"/>
      </w:pPr>
      <w:r>
        <w:t>Conclusions</w:t>
      </w:r>
    </w:p>
    <w:p w:rsidR="009C214E" w:rsidRDefault="00891449" w:rsidP="009C214E">
      <w:pPr>
        <w:outlineLvl w:val="0"/>
      </w:pPr>
      <w:r>
        <w:t xml:space="preserve">Efficacy of vismodegib 150mg once daily in patients with locally advanced or metastatic basal cell carcinoma with inoperable disease was established in a Phase II multicenter study. </w:t>
      </w:r>
      <w:r w:rsidRPr="00A44A01">
        <w:t xml:space="preserve"> Thirty percent of the patients with metastatic BCC responded (95% CI, 16 - 48; p=0.001) and 43% of the patients with locally advanced BCC responded (95% CI, 31-56; P&lt;0.001). Thirteen patients (21%) </w:t>
      </w:r>
      <w:r w:rsidR="00BA1A62">
        <w:t xml:space="preserve">with locally advanced BCC </w:t>
      </w:r>
      <w:r w:rsidRPr="00A44A01">
        <w:t>achieved a complete response (CR), defined as absence of residual BCC on assessment of biopsy specimen.  The median duration of response was 7.6 months in both groups and the median progression free survival was 9.5 months</w:t>
      </w:r>
      <w:r>
        <w:t xml:space="preserve"> </w:t>
      </w:r>
      <w:r w:rsidRPr="00C1364F">
        <w:rPr>
          <w:vertAlign w:val="superscript"/>
        </w:rPr>
        <w:t>2</w:t>
      </w:r>
      <w:r w:rsidRPr="00A44A01">
        <w:t xml:space="preserve">. </w:t>
      </w:r>
      <w:r>
        <w:t xml:space="preserve"> </w:t>
      </w:r>
    </w:p>
    <w:p w:rsidR="009C214E" w:rsidRDefault="009C214E" w:rsidP="009C214E">
      <w:pPr>
        <w:outlineLvl w:val="0"/>
      </w:pPr>
    </w:p>
    <w:p w:rsidR="009C214E" w:rsidRDefault="00891449" w:rsidP="009C214E">
      <w:pPr>
        <w:outlineLvl w:val="0"/>
      </w:pPr>
      <w:r>
        <w:t>A Phase I study conducted in 2009 assessed the safety and pharmacokinetics of vismodegib and responses of metastatic or locally advanced basal cell carcinoma. The overall response rate among patients with metastatic disease was 50% (95% CI, 29-71). Of the 15 patients with locally advanced disease, overall response rate was 60% (95% CI, 33-83). Median time of participation was 9.8 months, and median duration of response was 8.8 months. Overall, of the 33 patients with locally advanced or metastatic tumors, 18 had a response. Of the remaining 15 patients, 11 had stable disease for up to 10.8 months and 4 had progressive disease</w:t>
      </w:r>
      <w:r w:rsidRPr="00C1364F">
        <w:rPr>
          <w:vertAlign w:val="superscript"/>
        </w:rPr>
        <w:t>5</w:t>
      </w:r>
      <w:r>
        <w:t xml:space="preserve">. </w:t>
      </w:r>
    </w:p>
    <w:p w:rsidR="009C214E" w:rsidRDefault="009C214E" w:rsidP="009C214E">
      <w:pPr>
        <w:outlineLvl w:val="0"/>
      </w:pPr>
    </w:p>
    <w:p w:rsidR="009C214E" w:rsidRDefault="00891449" w:rsidP="009C214E">
      <w:pPr>
        <w:outlineLvl w:val="0"/>
      </w:pPr>
      <w:r w:rsidRPr="00A44A01">
        <w:t xml:space="preserve">Vismodegib is also undergoing clinical trials for metastatic colorectal cancer, small-cell lung cancer, advanced stomach cancer, </w:t>
      </w:r>
      <w:r>
        <w:t xml:space="preserve">advanced head and neck cancer, </w:t>
      </w:r>
      <w:r w:rsidRPr="00A44A01">
        <w:t>pancreatic cancer, medulloblastoma and chondrosarcoma</w:t>
      </w:r>
      <w:r w:rsidRPr="00C1364F">
        <w:rPr>
          <w:vertAlign w:val="superscript"/>
        </w:rPr>
        <w:t>4</w:t>
      </w:r>
      <w:r w:rsidRPr="00A44A01">
        <w:t>.</w:t>
      </w:r>
    </w:p>
    <w:p w:rsidR="009C214E" w:rsidRDefault="009C214E" w:rsidP="009C214E">
      <w:pPr>
        <w:outlineLvl w:val="0"/>
      </w:pPr>
    </w:p>
    <w:p w:rsidR="009C214E" w:rsidRDefault="00891449" w:rsidP="009C214E">
      <w:pPr>
        <w:outlineLvl w:val="0"/>
      </w:pPr>
      <w:r>
        <w:t>The most common adverse reactions in subjects receiving vismodegib (≥ 10%) were muscle</w:t>
      </w:r>
    </w:p>
    <w:p w:rsidR="009C214E" w:rsidRDefault="00891449" w:rsidP="009C214E">
      <w:pPr>
        <w:outlineLvl w:val="0"/>
      </w:pPr>
      <w:proofErr w:type="gramStart"/>
      <w:r>
        <w:t>spasms</w:t>
      </w:r>
      <w:proofErr w:type="gramEnd"/>
      <w:r>
        <w:t>, alopecia, dysgeusia, weight loss, fatigue, nausea, diarrhea, decreased appetite,</w:t>
      </w:r>
    </w:p>
    <w:p w:rsidR="009C214E" w:rsidRDefault="00891449" w:rsidP="009C214E">
      <w:pPr>
        <w:outlineLvl w:val="0"/>
      </w:pPr>
      <w:proofErr w:type="gramStart"/>
      <w:r>
        <w:t>constipation</w:t>
      </w:r>
      <w:proofErr w:type="gramEnd"/>
      <w:r>
        <w:t>, cough, arthralgias, vomiting, headache, ageusia, insomnia, and upper respiratory</w:t>
      </w:r>
    </w:p>
    <w:p w:rsidR="009C214E" w:rsidRDefault="00891449" w:rsidP="009C214E">
      <w:pPr>
        <w:outlineLvl w:val="0"/>
      </w:pPr>
      <w:proofErr w:type="gramStart"/>
      <w:r>
        <w:t>tract</w:t>
      </w:r>
      <w:proofErr w:type="gramEnd"/>
      <w:r>
        <w:t xml:space="preserve"> infection. The most common serious adverse reactions (≥ 1%) in subjects receiving</w:t>
      </w:r>
    </w:p>
    <w:p w:rsidR="009C214E" w:rsidRDefault="00891449" w:rsidP="009C214E">
      <w:pPr>
        <w:outlineLvl w:val="0"/>
      </w:pPr>
      <w:proofErr w:type="gramStart"/>
      <w:r>
        <w:t>vismodegib</w:t>
      </w:r>
      <w:proofErr w:type="gramEnd"/>
      <w:r>
        <w:t xml:space="preserve"> were death (2.2%), pneumonia (2.2 %), cardiac failure (1.4%), gastrointestinal</w:t>
      </w:r>
    </w:p>
    <w:p w:rsidR="009C214E" w:rsidRDefault="00891449" w:rsidP="009C214E">
      <w:pPr>
        <w:outlineLvl w:val="0"/>
      </w:pPr>
      <w:proofErr w:type="gramStart"/>
      <w:r>
        <w:t>hemorrhage</w:t>
      </w:r>
      <w:proofErr w:type="gramEnd"/>
      <w:r>
        <w:t xml:space="preserve"> (1.4%), pulmonary embolism (1.4%), deep vein thrombosis (1.4%), and hemorrhage</w:t>
      </w:r>
    </w:p>
    <w:p w:rsidR="009C214E" w:rsidRDefault="00891449" w:rsidP="009C214E">
      <w:pPr>
        <w:outlineLvl w:val="0"/>
      </w:pPr>
      <w:r>
        <w:t>(1.4%</w:t>
      </w:r>
      <w:proofErr w:type="gramStart"/>
      <w:r>
        <w:t>)</w:t>
      </w:r>
      <w:r w:rsidRPr="00C1364F">
        <w:rPr>
          <w:vertAlign w:val="superscript"/>
        </w:rPr>
        <w:t>3,6</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56"/>
        <w:gridCol w:w="5000"/>
      </w:tblGrid>
      <w:tr w:rsidR="00791049" w:rsidRPr="00C269F9" w:rsidTr="009C214E">
        <w:tc>
          <w:tcPr>
            <w:tcW w:w="4158" w:type="dxa"/>
            <w:shd w:val="pct12" w:color="auto" w:fill="auto"/>
          </w:tcPr>
          <w:p w:rsidR="00791049" w:rsidRPr="00C269F9" w:rsidRDefault="00791049" w:rsidP="009C214E">
            <w:pPr>
              <w:rPr>
                <w:b/>
                <w:sz w:val="20"/>
              </w:rPr>
            </w:pPr>
            <w:r w:rsidRPr="00C269F9">
              <w:rPr>
                <w:b/>
                <w:sz w:val="20"/>
              </w:rPr>
              <w:t>Outcome in clinically significant area</w:t>
            </w:r>
          </w:p>
        </w:tc>
        <w:tc>
          <w:tcPr>
            <w:tcW w:w="5418" w:type="dxa"/>
          </w:tcPr>
          <w:p w:rsidR="00791049" w:rsidRPr="00C269F9" w:rsidRDefault="00791049" w:rsidP="009C214E">
            <w:pPr>
              <w:rPr>
                <w:sz w:val="20"/>
              </w:rPr>
            </w:pPr>
            <w:r>
              <w:rPr>
                <w:sz w:val="20"/>
              </w:rPr>
              <w:t>ORR and meaningful duration of response where there is no standard of care</w:t>
            </w:r>
          </w:p>
        </w:tc>
      </w:tr>
      <w:tr w:rsidR="00791049" w:rsidRPr="00C269F9" w:rsidTr="009C214E">
        <w:tc>
          <w:tcPr>
            <w:tcW w:w="4158" w:type="dxa"/>
            <w:shd w:val="pct12" w:color="auto" w:fill="auto"/>
          </w:tcPr>
          <w:p w:rsidR="00791049" w:rsidRPr="00C269F9" w:rsidRDefault="00791049" w:rsidP="009C214E">
            <w:pPr>
              <w:rPr>
                <w:b/>
                <w:sz w:val="20"/>
              </w:rPr>
            </w:pPr>
            <w:r w:rsidRPr="00C269F9">
              <w:rPr>
                <w:b/>
                <w:sz w:val="20"/>
              </w:rPr>
              <w:t>Effect Size</w:t>
            </w:r>
          </w:p>
        </w:tc>
        <w:tc>
          <w:tcPr>
            <w:tcW w:w="5418" w:type="dxa"/>
          </w:tcPr>
          <w:p w:rsidR="00791049" w:rsidRPr="00C269F9" w:rsidRDefault="00C831C3" w:rsidP="009C214E">
            <w:pPr>
              <w:rPr>
                <w:sz w:val="20"/>
              </w:rPr>
            </w:pPr>
            <w:r>
              <w:rPr>
                <w:sz w:val="20"/>
              </w:rPr>
              <w:t>N/A</w:t>
            </w:r>
          </w:p>
        </w:tc>
      </w:tr>
      <w:tr w:rsidR="00791049" w:rsidRPr="00C269F9" w:rsidTr="009C214E">
        <w:tc>
          <w:tcPr>
            <w:tcW w:w="4158" w:type="dxa"/>
            <w:shd w:val="pct12" w:color="auto" w:fill="auto"/>
          </w:tcPr>
          <w:p w:rsidR="00791049" w:rsidRPr="00C269F9" w:rsidRDefault="00791049" w:rsidP="009C214E">
            <w:pPr>
              <w:rPr>
                <w:b/>
                <w:sz w:val="20"/>
              </w:rPr>
            </w:pPr>
            <w:r w:rsidRPr="00C269F9">
              <w:rPr>
                <w:b/>
                <w:sz w:val="20"/>
              </w:rPr>
              <w:t>Potential Harms</w:t>
            </w:r>
          </w:p>
        </w:tc>
        <w:tc>
          <w:tcPr>
            <w:tcW w:w="5418" w:type="dxa"/>
          </w:tcPr>
          <w:p w:rsidR="00791049" w:rsidRPr="00C269F9" w:rsidRDefault="00791049" w:rsidP="009C214E">
            <w:pPr>
              <w:rPr>
                <w:sz w:val="20"/>
              </w:rPr>
            </w:pPr>
            <w:r>
              <w:rPr>
                <w:sz w:val="20"/>
              </w:rPr>
              <w:t>Risk of Grade 3 or 4 toxicity was experienced by &lt;20% of the study population</w:t>
            </w:r>
          </w:p>
        </w:tc>
      </w:tr>
      <w:tr w:rsidR="00791049" w:rsidRPr="00C269F9" w:rsidTr="009C214E">
        <w:tc>
          <w:tcPr>
            <w:tcW w:w="4158" w:type="dxa"/>
            <w:shd w:val="pct12" w:color="auto" w:fill="auto"/>
          </w:tcPr>
          <w:p w:rsidR="00791049" w:rsidRPr="00C269F9" w:rsidRDefault="00791049" w:rsidP="009C214E">
            <w:pPr>
              <w:rPr>
                <w:b/>
                <w:sz w:val="20"/>
              </w:rPr>
            </w:pPr>
            <w:r w:rsidRPr="00C269F9">
              <w:rPr>
                <w:b/>
                <w:sz w:val="20"/>
              </w:rPr>
              <w:lastRenderedPageBreak/>
              <w:t>Net Clinical Benefit</w:t>
            </w:r>
          </w:p>
        </w:tc>
        <w:tc>
          <w:tcPr>
            <w:tcW w:w="5418" w:type="dxa"/>
          </w:tcPr>
          <w:p w:rsidR="00791049" w:rsidRPr="00C269F9" w:rsidRDefault="00791049" w:rsidP="009C214E">
            <w:pPr>
              <w:rPr>
                <w:sz w:val="20"/>
              </w:rPr>
            </w:pPr>
            <w:r>
              <w:rPr>
                <w:sz w:val="20"/>
              </w:rPr>
              <w:t>Minimal: Low chance of benefit and low risk of harm</w:t>
            </w:r>
          </w:p>
        </w:tc>
      </w:tr>
    </w:tbl>
    <w:p w:rsidR="009C214E" w:rsidRDefault="009C214E" w:rsidP="009C214E">
      <w:pPr>
        <w:outlineLvl w:val="0"/>
      </w:pPr>
    </w:p>
    <w:p w:rsidR="009C214E" w:rsidRDefault="009C214E"/>
    <w:p w:rsidR="009C214E" w:rsidRDefault="00891449" w:rsidP="009C214E">
      <w:pPr>
        <w:pStyle w:val="Heading1"/>
      </w:pPr>
      <w:r>
        <w:br w:type="page"/>
      </w:r>
      <w:r>
        <w:lastRenderedPageBreak/>
        <w:t>References</w:t>
      </w:r>
    </w:p>
    <w:p w:rsidR="009C214E" w:rsidRPr="00C1364F" w:rsidRDefault="009C214E">
      <w:pPr>
        <w:rPr>
          <w:rFonts w:ascii="Arial" w:hAnsi="Arial" w:cs="Arial"/>
          <w:sz w:val="18"/>
          <w:szCs w:val="18"/>
        </w:rPr>
      </w:pPr>
    </w:p>
    <w:p w:rsidR="009C214E" w:rsidRPr="00C1364F" w:rsidRDefault="00891449" w:rsidP="009C214E">
      <w:pPr>
        <w:pStyle w:val="ListParagraph"/>
        <w:numPr>
          <w:ilvl w:val="0"/>
          <w:numId w:val="31"/>
        </w:numPr>
        <w:rPr>
          <w:rFonts w:ascii="Arial" w:hAnsi="Arial" w:cs="Arial"/>
          <w:sz w:val="18"/>
          <w:szCs w:val="18"/>
        </w:rPr>
      </w:pPr>
      <w:r w:rsidRPr="00C1364F">
        <w:rPr>
          <w:rFonts w:ascii="Arial" w:hAnsi="Arial" w:cs="Arial"/>
          <w:sz w:val="18"/>
          <w:szCs w:val="18"/>
        </w:rPr>
        <w:t xml:space="preserve">Rogers HW, Weinstock MA, Harris AR, et al. Incidence estimate of </w:t>
      </w:r>
      <w:proofErr w:type="spellStart"/>
      <w:r w:rsidRPr="00C1364F">
        <w:rPr>
          <w:rFonts w:ascii="Arial" w:hAnsi="Arial" w:cs="Arial"/>
          <w:sz w:val="18"/>
          <w:szCs w:val="18"/>
        </w:rPr>
        <w:t>nonmelanoma</w:t>
      </w:r>
      <w:proofErr w:type="spellEnd"/>
      <w:r w:rsidRPr="00C1364F">
        <w:rPr>
          <w:rFonts w:ascii="Arial" w:hAnsi="Arial" w:cs="Arial"/>
          <w:sz w:val="18"/>
          <w:szCs w:val="18"/>
        </w:rPr>
        <w:t xml:space="preserve"> skin cancer in the United States. Arch </w:t>
      </w:r>
      <w:proofErr w:type="spellStart"/>
      <w:r w:rsidRPr="00C1364F">
        <w:rPr>
          <w:rFonts w:ascii="Arial" w:hAnsi="Arial" w:cs="Arial"/>
          <w:sz w:val="18"/>
          <w:szCs w:val="18"/>
        </w:rPr>
        <w:t>Dermatol</w:t>
      </w:r>
      <w:proofErr w:type="spellEnd"/>
      <w:r w:rsidRPr="00C1364F">
        <w:rPr>
          <w:rFonts w:ascii="Arial" w:hAnsi="Arial" w:cs="Arial"/>
          <w:sz w:val="18"/>
          <w:szCs w:val="18"/>
        </w:rPr>
        <w:t>. 2010 Mar</w:t>
      </w:r>
      <w:proofErr w:type="gramStart"/>
      <w:r w:rsidRPr="00C1364F">
        <w:rPr>
          <w:rFonts w:ascii="Arial" w:hAnsi="Arial" w:cs="Arial"/>
          <w:sz w:val="18"/>
          <w:szCs w:val="18"/>
        </w:rPr>
        <w:t>;146</w:t>
      </w:r>
      <w:proofErr w:type="gramEnd"/>
      <w:r w:rsidRPr="00C1364F">
        <w:rPr>
          <w:rFonts w:ascii="Arial" w:hAnsi="Arial" w:cs="Arial"/>
          <w:sz w:val="18"/>
          <w:szCs w:val="18"/>
        </w:rPr>
        <w:t xml:space="preserve">(3):283-7. </w:t>
      </w:r>
      <w:proofErr w:type="spellStart"/>
      <w:proofErr w:type="gramStart"/>
      <w:r w:rsidRPr="00C1364F">
        <w:rPr>
          <w:rFonts w:ascii="Arial" w:hAnsi="Arial" w:cs="Arial"/>
          <w:sz w:val="18"/>
          <w:szCs w:val="18"/>
        </w:rPr>
        <w:t>doi</w:t>
      </w:r>
      <w:proofErr w:type="spellEnd"/>
      <w:proofErr w:type="gramEnd"/>
      <w:r w:rsidRPr="00C1364F">
        <w:rPr>
          <w:rFonts w:ascii="Arial" w:hAnsi="Arial" w:cs="Arial"/>
          <w:sz w:val="18"/>
          <w:szCs w:val="18"/>
        </w:rPr>
        <w:t>: 10.1001/archdermatol.2010.19.</w:t>
      </w:r>
    </w:p>
    <w:p w:rsidR="009C214E" w:rsidRPr="00C1364F" w:rsidRDefault="009C214E" w:rsidP="009C214E">
      <w:pPr>
        <w:pStyle w:val="ListParagraph"/>
        <w:rPr>
          <w:rFonts w:ascii="Arial" w:hAnsi="Arial" w:cs="Arial"/>
          <w:sz w:val="18"/>
          <w:szCs w:val="18"/>
        </w:rPr>
      </w:pPr>
    </w:p>
    <w:p w:rsidR="009C214E" w:rsidRPr="00C1364F" w:rsidRDefault="00891449" w:rsidP="009C214E">
      <w:pPr>
        <w:pStyle w:val="ListParagraph"/>
        <w:numPr>
          <w:ilvl w:val="0"/>
          <w:numId w:val="31"/>
        </w:numPr>
        <w:rPr>
          <w:rFonts w:ascii="Arial" w:hAnsi="Arial" w:cs="Arial"/>
          <w:bCs/>
          <w:sz w:val="18"/>
          <w:szCs w:val="18"/>
        </w:rPr>
      </w:pPr>
      <w:proofErr w:type="spellStart"/>
      <w:r w:rsidRPr="00C1364F">
        <w:rPr>
          <w:rFonts w:ascii="Arial" w:hAnsi="Arial" w:cs="Arial"/>
          <w:bCs/>
          <w:sz w:val="18"/>
          <w:szCs w:val="18"/>
        </w:rPr>
        <w:t>Sekulic</w:t>
      </w:r>
      <w:proofErr w:type="spellEnd"/>
      <w:r w:rsidRPr="00C1364F">
        <w:rPr>
          <w:rFonts w:ascii="Arial" w:hAnsi="Arial" w:cs="Arial"/>
          <w:bCs/>
          <w:sz w:val="18"/>
          <w:szCs w:val="18"/>
        </w:rPr>
        <w:t xml:space="preserve"> A, </w:t>
      </w:r>
      <w:proofErr w:type="spellStart"/>
      <w:r w:rsidRPr="00C1364F">
        <w:rPr>
          <w:rFonts w:ascii="Arial" w:hAnsi="Arial" w:cs="Arial"/>
          <w:bCs/>
          <w:sz w:val="18"/>
          <w:szCs w:val="18"/>
        </w:rPr>
        <w:t>Migden</w:t>
      </w:r>
      <w:proofErr w:type="spellEnd"/>
      <w:r w:rsidRPr="00C1364F">
        <w:rPr>
          <w:rFonts w:ascii="Arial" w:hAnsi="Arial" w:cs="Arial"/>
          <w:bCs/>
          <w:sz w:val="18"/>
          <w:szCs w:val="18"/>
        </w:rPr>
        <w:t xml:space="preserve"> MR, Oro AE, et al. Efficacy and safety of vismodegib in advanced basal-</w:t>
      </w:r>
      <w:proofErr w:type="spellStart"/>
      <w:r w:rsidRPr="00C1364F">
        <w:rPr>
          <w:rFonts w:ascii="Arial" w:hAnsi="Arial" w:cs="Arial"/>
          <w:bCs/>
          <w:sz w:val="18"/>
          <w:szCs w:val="18"/>
        </w:rPr>
        <w:t>cellcarcinoma</w:t>
      </w:r>
      <w:proofErr w:type="spellEnd"/>
      <w:r w:rsidRPr="00C1364F">
        <w:rPr>
          <w:rFonts w:ascii="Arial" w:hAnsi="Arial" w:cs="Arial"/>
          <w:bCs/>
          <w:sz w:val="18"/>
          <w:szCs w:val="18"/>
        </w:rPr>
        <w:t xml:space="preserve">. N </w:t>
      </w:r>
      <w:proofErr w:type="spellStart"/>
      <w:r w:rsidRPr="00C1364F">
        <w:rPr>
          <w:rFonts w:ascii="Arial" w:hAnsi="Arial" w:cs="Arial"/>
          <w:bCs/>
          <w:sz w:val="18"/>
          <w:szCs w:val="18"/>
        </w:rPr>
        <w:t>Engl</w:t>
      </w:r>
      <w:proofErr w:type="spellEnd"/>
      <w:r w:rsidRPr="00C1364F">
        <w:rPr>
          <w:rFonts w:ascii="Arial" w:hAnsi="Arial" w:cs="Arial"/>
          <w:bCs/>
          <w:sz w:val="18"/>
          <w:szCs w:val="18"/>
        </w:rPr>
        <w:t xml:space="preserve"> J Med 2012</w:t>
      </w:r>
      <w:proofErr w:type="gramStart"/>
      <w:r w:rsidRPr="00C1364F">
        <w:rPr>
          <w:rFonts w:ascii="Arial" w:hAnsi="Arial" w:cs="Arial"/>
          <w:bCs/>
          <w:sz w:val="18"/>
          <w:szCs w:val="18"/>
        </w:rPr>
        <w:t>;366:2171</w:t>
      </w:r>
      <w:proofErr w:type="gramEnd"/>
      <w:r w:rsidRPr="00C1364F">
        <w:rPr>
          <w:rFonts w:ascii="Arial" w:hAnsi="Arial" w:cs="Arial"/>
          <w:bCs/>
          <w:sz w:val="18"/>
          <w:szCs w:val="18"/>
        </w:rPr>
        <w:t>-9.</w:t>
      </w:r>
    </w:p>
    <w:p w:rsidR="009C214E" w:rsidRPr="00C1364F" w:rsidRDefault="009C214E" w:rsidP="009C214E">
      <w:pPr>
        <w:rPr>
          <w:rFonts w:ascii="Arial" w:hAnsi="Arial" w:cs="Arial"/>
          <w:bCs/>
          <w:sz w:val="18"/>
          <w:szCs w:val="18"/>
        </w:rPr>
      </w:pPr>
    </w:p>
    <w:p w:rsidR="009C214E" w:rsidRPr="00C1364F" w:rsidRDefault="00891449" w:rsidP="009C214E">
      <w:pPr>
        <w:pStyle w:val="ListParagraph"/>
        <w:numPr>
          <w:ilvl w:val="0"/>
          <w:numId w:val="31"/>
        </w:numPr>
        <w:rPr>
          <w:rFonts w:ascii="Arial" w:hAnsi="Arial" w:cs="Arial"/>
          <w:bCs/>
          <w:sz w:val="18"/>
          <w:szCs w:val="18"/>
        </w:rPr>
      </w:pPr>
      <w:r w:rsidRPr="00C1364F">
        <w:rPr>
          <w:rFonts w:ascii="Arial" w:hAnsi="Arial" w:cs="Arial"/>
          <w:bCs/>
          <w:sz w:val="18"/>
          <w:szCs w:val="18"/>
        </w:rPr>
        <w:t>Vismodegib [Package Insert] Genentech Pharmaceuticals 2011</w:t>
      </w:r>
    </w:p>
    <w:p w:rsidR="009C214E" w:rsidRPr="00C1364F" w:rsidRDefault="009C214E" w:rsidP="009C214E">
      <w:pPr>
        <w:pStyle w:val="ListParagraph"/>
        <w:rPr>
          <w:rFonts w:ascii="Arial" w:hAnsi="Arial" w:cs="Arial"/>
          <w:bCs/>
          <w:sz w:val="18"/>
          <w:szCs w:val="18"/>
        </w:rPr>
      </w:pPr>
    </w:p>
    <w:p w:rsidR="009C214E" w:rsidRPr="00C1364F" w:rsidRDefault="00F503CF" w:rsidP="009C214E">
      <w:pPr>
        <w:pStyle w:val="ListParagraph"/>
        <w:numPr>
          <w:ilvl w:val="0"/>
          <w:numId w:val="31"/>
        </w:numPr>
        <w:rPr>
          <w:rFonts w:ascii="Arial" w:hAnsi="Arial" w:cs="Arial"/>
          <w:bCs/>
          <w:sz w:val="18"/>
          <w:szCs w:val="18"/>
        </w:rPr>
      </w:pPr>
      <w:hyperlink r:id="rId13" w:history="1">
        <w:r w:rsidR="00891449" w:rsidRPr="00C1364F">
          <w:rPr>
            <w:rStyle w:val="Hyperlink"/>
            <w:rFonts w:ascii="Arial" w:hAnsi="Arial" w:cs="Arial"/>
            <w:bCs/>
            <w:color w:val="auto"/>
            <w:sz w:val="18"/>
            <w:szCs w:val="18"/>
          </w:rPr>
          <w:t>http://www.clinicaltrials.gov/ct2/results?term=vismodegib&amp;pg=2</w:t>
        </w:r>
      </w:hyperlink>
      <w:r w:rsidR="00891449" w:rsidRPr="00C1364F">
        <w:rPr>
          <w:rFonts w:ascii="Arial" w:hAnsi="Arial" w:cs="Arial"/>
          <w:bCs/>
          <w:sz w:val="18"/>
          <w:szCs w:val="18"/>
        </w:rPr>
        <w:t xml:space="preserve"> </w:t>
      </w:r>
    </w:p>
    <w:p w:rsidR="009C214E" w:rsidRPr="00C1364F" w:rsidRDefault="009C214E" w:rsidP="009C214E">
      <w:pPr>
        <w:pStyle w:val="ListParagraph"/>
        <w:rPr>
          <w:rFonts w:ascii="Arial" w:hAnsi="Arial" w:cs="Arial"/>
          <w:bCs/>
          <w:sz w:val="18"/>
          <w:szCs w:val="18"/>
        </w:rPr>
      </w:pPr>
    </w:p>
    <w:p w:rsidR="009C214E" w:rsidRPr="00C1364F" w:rsidRDefault="00891449" w:rsidP="009C214E">
      <w:pPr>
        <w:pStyle w:val="ListParagraph"/>
        <w:numPr>
          <w:ilvl w:val="0"/>
          <w:numId w:val="31"/>
        </w:numPr>
        <w:rPr>
          <w:rFonts w:ascii="Arial" w:hAnsi="Arial" w:cs="Arial"/>
          <w:bCs/>
          <w:sz w:val="18"/>
          <w:szCs w:val="18"/>
        </w:rPr>
      </w:pPr>
      <w:r w:rsidRPr="00C1364F">
        <w:rPr>
          <w:rFonts w:ascii="Arial" w:hAnsi="Arial" w:cs="Arial"/>
          <w:bCs/>
          <w:sz w:val="18"/>
          <w:szCs w:val="18"/>
        </w:rPr>
        <w:t>Von Hoff et al. Inhibition of the Hedgehog Pathway in Advanced Basal-Cell Carcinoma NEJM 2009; 361:1164-72</w:t>
      </w:r>
    </w:p>
    <w:p w:rsidR="009C214E" w:rsidRDefault="009C214E" w:rsidP="009C214E">
      <w:pPr>
        <w:rPr>
          <w:rFonts w:ascii="Arial" w:hAnsi="Arial" w:cs="Arial"/>
          <w:bCs/>
          <w:sz w:val="18"/>
          <w:szCs w:val="18"/>
        </w:rPr>
      </w:pPr>
    </w:p>
    <w:p w:rsidR="0062245E" w:rsidRPr="00C1364F" w:rsidRDefault="0062245E" w:rsidP="009C214E">
      <w:pPr>
        <w:rPr>
          <w:rFonts w:ascii="Arial" w:hAnsi="Arial" w:cs="Arial"/>
          <w:bCs/>
          <w:sz w:val="18"/>
          <w:szCs w:val="18"/>
        </w:rPr>
        <w:sectPr w:rsidR="0062245E" w:rsidRPr="00C1364F">
          <w:headerReference w:type="even" r:id="rId14"/>
          <w:headerReference w:type="default" r:id="rId15"/>
          <w:footerReference w:type="default" r:id="rId16"/>
          <w:headerReference w:type="first" r:id="rId17"/>
          <w:endnotePr>
            <w:numFmt w:val="decimal"/>
          </w:endnotePr>
          <w:type w:val="continuous"/>
          <w:pgSz w:w="12240" w:h="15840"/>
          <w:pgMar w:top="1440" w:right="1800" w:bottom="1440" w:left="1800" w:header="720" w:footer="606" w:gutter="0"/>
          <w:cols w:space="720"/>
        </w:sectPr>
      </w:pPr>
    </w:p>
    <w:p w:rsidR="009C214E" w:rsidRDefault="00F503CF" w:rsidP="009C214E">
      <w:pPr>
        <w:pStyle w:val="ListParagraph"/>
        <w:numPr>
          <w:ilvl w:val="0"/>
          <w:numId w:val="31"/>
        </w:numPr>
        <w:rPr>
          <w:rFonts w:ascii="Arial" w:hAnsi="Arial" w:cs="Arial"/>
          <w:bCs/>
          <w:sz w:val="18"/>
          <w:szCs w:val="18"/>
        </w:rPr>
      </w:pPr>
      <w:hyperlink r:id="rId18" w:history="1">
        <w:r w:rsidR="00891449" w:rsidRPr="00C1364F">
          <w:rPr>
            <w:rStyle w:val="Hyperlink"/>
            <w:rFonts w:ascii="Arial" w:hAnsi="Arial" w:cs="Arial"/>
            <w:bCs/>
            <w:color w:val="auto"/>
            <w:sz w:val="18"/>
            <w:szCs w:val="18"/>
          </w:rPr>
          <w:t>http://www.accessdata.fda.gov/drugsatfda_docs/nda/2012/203388Orig1s000MedRpdf.pdf</w:t>
        </w:r>
      </w:hyperlink>
      <w:r w:rsidR="00891449" w:rsidRPr="00C1364F">
        <w:rPr>
          <w:rFonts w:ascii="Arial" w:hAnsi="Arial" w:cs="Arial"/>
          <w:bCs/>
          <w:sz w:val="18"/>
          <w:szCs w:val="18"/>
        </w:rPr>
        <w:t xml:space="preserve">  ( FDA thing)</w:t>
      </w:r>
    </w:p>
    <w:p w:rsidR="009C214E" w:rsidRPr="00C1364F" w:rsidRDefault="009C214E" w:rsidP="009C214E">
      <w:pPr>
        <w:pStyle w:val="ListParagraph"/>
        <w:rPr>
          <w:rFonts w:ascii="Arial" w:hAnsi="Arial" w:cs="Arial"/>
          <w:bCs/>
          <w:sz w:val="18"/>
          <w:szCs w:val="18"/>
        </w:rPr>
      </w:pPr>
    </w:p>
    <w:p w:rsidR="009C214E" w:rsidRPr="00C1364F" w:rsidRDefault="00891449" w:rsidP="009C214E">
      <w:pPr>
        <w:pStyle w:val="NormalWeb"/>
        <w:numPr>
          <w:ilvl w:val="0"/>
          <w:numId w:val="31"/>
        </w:numPr>
        <w:spacing w:before="0" w:beforeAutospacing="0"/>
        <w:rPr>
          <w:rFonts w:ascii="Arial" w:hAnsi="Arial" w:cs="Arial"/>
          <w:color w:val="auto"/>
          <w:sz w:val="18"/>
          <w:szCs w:val="18"/>
        </w:rPr>
      </w:pPr>
      <w:r w:rsidRPr="00C1364F">
        <w:rPr>
          <w:rFonts w:ascii="Arial" w:hAnsi="Arial" w:cs="Arial"/>
          <w:color w:val="auto"/>
          <w:sz w:val="18"/>
          <w:szCs w:val="18"/>
        </w:rPr>
        <w:t xml:space="preserve">Amin, </w:t>
      </w:r>
      <w:proofErr w:type="spellStart"/>
      <w:r w:rsidRPr="00C1364F">
        <w:rPr>
          <w:rFonts w:ascii="Arial" w:hAnsi="Arial" w:cs="Arial"/>
          <w:color w:val="auto"/>
          <w:sz w:val="18"/>
          <w:szCs w:val="18"/>
        </w:rPr>
        <w:t>Shivan</w:t>
      </w:r>
      <w:proofErr w:type="spellEnd"/>
      <w:r w:rsidRPr="00C1364F">
        <w:rPr>
          <w:rFonts w:ascii="Arial" w:hAnsi="Arial" w:cs="Arial"/>
          <w:color w:val="auto"/>
          <w:sz w:val="18"/>
          <w:szCs w:val="18"/>
        </w:rPr>
        <w:t xml:space="preserve">. "Hedgehog Antagonist GDC-0449 Is Effective in the Treatment of Advance Basal Cell Carcinoma." </w:t>
      </w:r>
      <w:r w:rsidRPr="00C1364F">
        <w:rPr>
          <w:rFonts w:ascii="Arial" w:hAnsi="Arial" w:cs="Arial"/>
          <w:i/>
          <w:iCs/>
          <w:color w:val="auto"/>
          <w:sz w:val="18"/>
          <w:szCs w:val="18"/>
        </w:rPr>
        <w:t>Laryngoscope</w:t>
      </w:r>
      <w:r w:rsidRPr="00C1364F">
        <w:rPr>
          <w:rFonts w:ascii="Arial" w:hAnsi="Arial" w:cs="Arial"/>
          <w:color w:val="auto"/>
          <w:sz w:val="18"/>
          <w:szCs w:val="18"/>
        </w:rPr>
        <w:t>. 120. (2010): 2456-2459</w:t>
      </w:r>
    </w:p>
    <w:p w:rsidR="009C214E" w:rsidRDefault="00891449" w:rsidP="009C214E">
      <w:pPr>
        <w:pStyle w:val="ListParagraph"/>
        <w:numPr>
          <w:ilvl w:val="0"/>
          <w:numId w:val="31"/>
        </w:numPr>
        <w:rPr>
          <w:rFonts w:ascii="Arial" w:hAnsi="Arial" w:cs="Arial"/>
          <w:bCs/>
          <w:color w:val="000000"/>
          <w:sz w:val="18"/>
          <w:szCs w:val="18"/>
        </w:rPr>
      </w:pPr>
      <w:r w:rsidRPr="00C1364F">
        <w:rPr>
          <w:rFonts w:ascii="Arial" w:hAnsi="Arial" w:cs="Arial"/>
          <w:bCs/>
          <w:color w:val="000000"/>
          <w:sz w:val="18"/>
          <w:szCs w:val="18"/>
        </w:rPr>
        <w:t xml:space="preserve">Supplement to: </w:t>
      </w:r>
      <w:proofErr w:type="spellStart"/>
      <w:r w:rsidRPr="00C1364F">
        <w:rPr>
          <w:rFonts w:ascii="Arial" w:hAnsi="Arial" w:cs="Arial"/>
          <w:bCs/>
          <w:color w:val="000000"/>
          <w:sz w:val="18"/>
          <w:szCs w:val="18"/>
        </w:rPr>
        <w:t>Sekulic</w:t>
      </w:r>
      <w:proofErr w:type="spellEnd"/>
      <w:r w:rsidRPr="00C1364F">
        <w:rPr>
          <w:rFonts w:ascii="Arial" w:hAnsi="Arial" w:cs="Arial"/>
          <w:bCs/>
          <w:color w:val="000000"/>
          <w:sz w:val="18"/>
          <w:szCs w:val="18"/>
        </w:rPr>
        <w:t xml:space="preserve"> A, </w:t>
      </w:r>
      <w:proofErr w:type="spellStart"/>
      <w:r w:rsidRPr="00C1364F">
        <w:rPr>
          <w:rFonts w:ascii="Arial" w:hAnsi="Arial" w:cs="Arial"/>
          <w:bCs/>
          <w:color w:val="000000"/>
          <w:sz w:val="18"/>
          <w:szCs w:val="18"/>
        </w:rPr>
        <w:t>Migden</w:t>
      </w:r>
      <w:proofErr w:type="spellEnd"/>
      <w:r w:rsidRPr="00C1364F">
        <w:rPr>
          <w:rFonts w:ascii="Arial" w:hAnsi="Arial" w:cs="Arial"/>
          <w:bCs/>
          <w:color w:val="000000"/>
          <w:sz w:val="18"/>
          <w:szCs w:val="18"/>
        </w:rPr>
        <w:t xml:space="preserve"> MR, Oro AE, et al. Efficacy and safety of vismodegib in advanced basal-</w:t>
      </w:r>
      <w:proofErr w:type="spellStart"/>
      <w:r w:rsidRPr="00C1364F">
        <w:rPr>
          <w:rFonts w:ascii="Arial" w:hAnsi="Arial" w:cs="Arial"/>
          <w:bCs/>
          <w:color w:val="000000"/>
          <w:sz w:val="18"/>
          <w:szCs w:val="18"/>
        </w:rPr>
        <w:t>cellcarcinoma</w:t>
      </w:r>
      <w:proofErr w:type="spellEnd"/>
      <w:r w:rsidRPr="00C1364F">
        <w:rPr>
          <w:rFonts w:ascii="Arial" w:hAnsi="Arial" w:cs="Arial"/>
          <w:bCs/>
          <w:color w:val="000000"/>
          <w:sz w:val="18"/>
          <w:szCs w:val="18"/>
        </w:rPr>
        <w:t xml:space="preserve">. N </w:t>
      </w:r>
      <w:proofErr w:type="spellStart"/>
      <w:r w:rsidRPr="00C1364F">
        <w:rPr>
          <w:rFonts w:ascii="Arial" w:hAnsi="Arial" w:cs="Arial"/>
          <w:bCs/>
          <w:color w:val="000000"/>
          <w:sz w:val="18"/>
          <w:szCs w:val="18"/>
        </w:rPr>
        <w:t>Engl</w:t>
      </w:r>
      <w:proofErr w:type="spellEnd"/>
      <w:r w:rsidRPr="00C1364F">
        <w:rPr>
          <w:rFonts w:ascii="Arial" w:hAnsi="Arial" w:cs="Arial"/>
          <w:bCs/>
          <w:color w:val="000000"/>
          <w:sz w:val="18"/>
          <w:szCs w:val="18"/>
        </w:rPr>
        <w:t xml:space="preserve"> J Med 2012</w:t>
      </w:r>
      <w:proofErr w:type="gramStart"/>
      <w:r w:rsidRPr="00C1364F">
        <w:rPr>
          <w:rFonts w:ascii="Arial" w:hAnsi="Arial" w:cs="Arial"/>
          <w:bCs/>
          <w:color w:val="000000"/>
          <w:sz w:val="18"/>
          <w:szCs w:val="18"/>
        </w:rPr>
        <w:t>;366:2171</w:t>
      </w:r>
      <w:proofErr w:type="gramEnd"/>
      <w:r w:rsidRPr="00C1364F">
        <w:rPr>
          <w:rFonts w:ascii="Arial" w:hAnsi="Arial" w:cs="Arial"/>
          <w:bCs/>
          <w:color w:val="000000"/>
          <w:sz w:val="18"/>
          <w:szCs w:val="18"/>
        </w:rPr>
        <w:t>-9.</w:t>
      </w:r>
    </w:p>
    <w:p w:rsidR="009C214E" w:rsidRPr="00C1364F" w:rsidRDefault="009C214E" w:rsidP="009C214E">
      <w:pPr>
        <w:pStyle w:val="ListParagraph"/>
        <w:rPr>
          <w:rFonts w:ascii="Arial" w:hAnsi="Arial" w:cs="Arial"/>
          <w:bCs/>
          <w:color w:val="000000"/>
          <w:sz w:val="18"/>
          <w:szCs w:val="18"/>
        </w:rPr>
      </w:pPr>
    </w:p>
    <w:p w:rsidR="009C214E" w:rsidRDefault="00891449" w:rsidP="009C214E">
      <w:pPr>
        <w:pStyle w:val="ListParagraph"/>
        <w:numPr>
          <w:ilvl w:val="0"/>
          <w:numId w:val="31"/>
        </w:numPr>
        <w:rPr>
          <w:rFonts w:ascii="Arial" w:hAnsi="Arial" w:cs="Arial"/>
          <w:bCs/>
          <w:color w:val="000000"/>
          <w:sz w:val="18"/>
          <w:szCs w:val="18"/>
        </w:rPr>
      </w:pPr>
      <w:proofErr w:type="spellStart"/>
      <w:r w:rsidRPr="00294D83">
        <w:rPr>
          <w:rFonts w:ascii="Arial" w:hAnsi="Arial" w:cs="Arial"/>
          <w:bCs/>
          <w:color w:val="000000"/>
          <w:sz w:val="18"/>
          <w:szCs w:val="18"/>
        </w:rPr>
        <w:t>Gajjar</w:t>
      </w:r>
      <w:proofErr w:type="spellEnd"/>
      <w:r w:rsidRPr="00294D83">
        <w:rPr>
          <w:rFonts w:ascii="Arial" w:hAnsi="Arial" w:cs="Arial"/>
          <w:bCs/>
          <w:color w:val="000000"/>
          <w:sz w:val="18"/>
          <w:szCs w:val="18"/>
        </w:rPr>
        <w:t xml:space="preserve"> AJ, Stewart CF, Ellison DW, et al, for the Pediatric Brain Tumor Consortium (PBTC 25). A phase </w:t>
      </w:r>
      <w:proofErr w:type="gramStart"/>
      <w:r w:rsidRPr="00294D83">
        <w:rPr>
          <w:rFonts w:ascii="Arial" w:hAnsi="Arial" w:cs="Arial"/>
          <w:bCs/>
          <w:color w:val="000000"/>
          <w:sz w:val="18"/>
          <w:szCs w:val="18"/>
        </w:rPr>
        <w:t>I  pharmacokinetic</w:t>
      </w:r>
      <w:proofErr w:type="gramEnd"/>
      <w:r w:rsidRPr="00294D83">
        <w:rPr>
          <w:rFonts w:ascii="Arial" w:hAnsi="Arial" w:cs="Arial"/>
          <w:bCs/>
          <w:color w:val="000000"/>
          <w:sz w:val="18"/>
          <w:szCs w:val="18"/>
        </w:rPr>
        <w:t xml:space="preserve"> trial of sonic hedgehog (SHH) antagonist GDC- 0449 in pediatric patients with recurrent  or refractory medulloblastoma. J </w:t>
      </w:r>
      <w:proofErr w:type="spellStart"/>
      <w:r w:rsidRPr="00294D83">
        <w:rPr>
          <w:rFonts w:ascii="Arial" w:hAnsi="Arial" w:cs="Arial"/>
          <w:bCs/>
          <w:color w:val="000000"/>
          <w:sz w:val="18"/>
          <w:szCs w:val="18"/>
        </w:rPr>
        <w:t>Clin</w:t>
      </w:r>
      <w:proofErr w:type="spellEnd"/>
      <w:r w:rsidRPr="00294D83">
        <w:rPr>
          <w:rFonts w:ascii="Arial" w:hAnsi="Arial" w:cs="Arial"/>
          <w:bCs/>
          <w:color w:val="000000"/>
          <w:sz w:val="18"/>
          <w:szCs w:val="18"/>
        </w:rPr>
        <w:t xml:space="preserve"> </w:t>
      </w:r>
      <w:proofErr w:type="spellStart"/>
      <w:r w:rsidRPr="00294D83">
        <w:rPr>
          <w:rFonts w:ascii="Arial" w:hAnsi="Arial" w:cs="Arial"/>
          <w:bCs/>
          <w:color w:val="000000"/>
          <w:sz w:val="18"/>
          <w:szCs w:val="18"/>
        </w:rPr>
        <w:t>Oncol</w:t>
      </w:r>
      <w:proofErr w:type="spellEnd"/>
      <w:r w:rsidRPr="00294D83">
        <w:rPr>
          <w:rFonts w:ascii="Arial" w:hAnsi="Arial" w:cs="Arial"/>
          <w:bCs/>
          <w:color w:val="000000"/>
          <w:sz w:val="18"/>
          <w:szCs w:val="18"/>
        </w:rPr>
        <w:t>. 2010</w:t>
      </w:r>
      <w:proofErr w:type="gramStart"/>
      <w:r w:rsidRPr="00294D83">
        <w:rPr>
          <w:rFonts w:ascii="Arial" w:hAnsi="Arial" w:cs="Arial"/>
          <w:bCs/>
          <w:color w:val="000000"/>
          <w:sz w:val="18"/>
          <w:szCs w:val="18"/>
        </w:rPr>
        <w:t>;28</w:t>
      </w:r>
      <w:proofErr w:type="gramEnd"/>
      <w:r w:rsidRPr="00294D83">
        <w:rPr>
          <w:rFonts w:ascii="Arial" w:hAnsi="Arial" w:cs="Arial"/>
          <w:bCs/>
          <w:color w:val="000000"/>
          <w:sz w:val="18"/>
          <w:szCs w:val="18"/>
        </w:rPr>
        <w:t>(18S).</w:t>
      </w:r>
    </w:p>
    <w:p w:rsidR="009C214E" w:rsidRPr="00C1364F" w:rsidRDefault="009C214E" w:rsidP="009C214E">
      <w:pPr>
        <w:pStyle w:val="ListParagraph"/>
        <w:rPr>
          <w:rFonts w:ascii="Arial" w:hAnsi="Arial" w:cs="Arial"/>
          <w:bCs/>
          <w:color w:val="000000"/>
          <w:sz w:val="18"/>
          <w:szCs w:val="18"/>
        </w:rPr>
      </w:pPr>
    </w:p>
    <w:p w:rsidR="009C214E" w:rsidRPr="002E0913" w:rsidRDefault="00891449" w:rsidP="009C214E">
      <w:pPr>
        <w:pStyle w:val="ListParagraph"/>
        <w:numPr>
          <w:ilvl w:val="0"/>
          <w:numId w:val="31"/>
        </w:numPr>
        <w:rPr>
          <w:rFonts w:ascii="Arial" w:hAnsi="Arial" w:cs="Arial"/>
          <w:bCs/>
          <w:color w:val="000000"/>
          <w:sz w:val="18"/>
          <w:szCs w:val="18"/>
        </w:rPr>
      </w:pPr>
      <w:proofErr w:type="spellStart"/>
      <w:r w:rsidRPr="002E0913">
        <w:rPr>
          <w:rFonts w:ascii="Arial" w:hAnsi="Arial" w:cs="Arial"/>
          <w:bCs/>
          <w:color w:val="000000"/>
          <w:sz w:val="18"/>
          <w:szCs w:val="18"/>
        </w:rPr>
        <w:t>Aasi</w:t>
      </w:r>
      <w:proofErr w:type="spellEnd"/>
      <w:r w:rsidRPr="002E0913">
        <w:rPr>
          <w:rFonts w:ascii="Arial" w:hAnsi="Arial" w:cs="Arial"/>
          <w:bCs/>
          <w:color w:val="000000"/>
          <w:sz w:val="18"/>
          <w:szCs w:val="18"/>
        </w:rPr>
        <w:t xml:space="preserve"> S, MD; </w:t>
      </w:r>
      <w:proofErr w:type="spellStart"/>
      <w:r w:rsidRPr="002E0913">
        <w:rPr>
          <w:rFonts w:ascii="Arial" w:hAnsi="Arial" w:cs="Arial"/>
          <w:bCs/>
          <w:color w:val="000000"/>
          <w:sz w:val="18"/>
          <w:szCs w:val="18"/>
        </w:rPr>
        <w:t>Silkiss</w:t>
      </w:r>
      <w:proofErr w:type="spellEnd"/>
      <w:r w:rsidRPr="002E0913">
        <w:rPr>
          <w:rFonts w:ascii="Arial" w:hAnsi="Arial" w:cs="Arial"/>
          <w:bCs/>
          <w:color w:val="000000"/>
          <w:sz w:val="18"/>
          <w:szCs w:val="18"/>
        </w:rPr>
        <w:t xml:space="preserve"> R, Tang </w:t>
      </w:r>
      <w:proofErr w:type="gramStart"/>
      <w:r w:rsidRPr="002E0913">
        <w:rPr>
          <w:rFonts w:ascii="Arial" w:hAnsi="Arial" w:cs="Arial"/>
          <w:bCs/>
          <w:color w:val="000000"/>
          <w:sz w:val="18"/>
          <w:szCs w:val="18"/>
        </w:rPr>
        <w:t>JY ,</w:t>
      </w:r>
      <w:proofErr w:type="gramEnd"/>
      <w:r w:rsidRPr="002E0913">
        <w:rPr>
          <w:rFonts w:ascii="Arial" w:hAnsi="Arial" w:cs="Arial"/>
          <w:bCs/>
          <w:color w:val="000000"/>
          <w:sz w:val="18"/>
          <w:szCs w:val="18"/>
        </w:rPr>
        <w:t xml:space="preserve"> New Onset of Keratoacanthomas After Vismodegib Treatment for Locally Advanced Basal Cell Carcinomas: A Report of 2 Cases  JAMA </w:t>
      </w:r>
      <w:proofErr w:type="spellStart"/>
      <w:r w:rsidRPr="002E0913">
        <w:rPr>
          <w:rFonts w:ascii="Arial" w:hAnsi="Arial" w:cs="Arial"/>
          <w:bCs/>
          <w:color w:val="000000"/>
          <w:sz w:val="18"/>
          <w:szCs w:val="18"/>
        </w:rPr>
        <w:t>Dermatol</w:t>
      </w:r>
      <w:proofErr w:type="spellEnd"/>
      <w:r w:rsidRPr="002E0913">
        <w:rPr>
          <w:rFonts w:ascii="Arial" w:hAnsi="Arial" w:cs="Arial"/>
          <w:bCs/>
          <w:color w:val="000000"/>
          <w:sz w:val="18"/>
          <w:szCs w:val="18"/>
        </w:rPr>
        <w:t>. 2013</w:t>
      </w:r>
      <w:proofErr w:type="gramStart"/>
      <w:r w:rsidRPr="002E0913">
        <w:rPr>
          <w:rFonts w:ascii="Arial" w:hAnsi="Arial" w:cs="Arial"/>
          <w:bCs/>
          <w:color w:val="000000"/>
          <w:sz w:val="18"/>
          <w:szCs w:val="18"/>
        </w:rPr>
        <w:t>;149</w:t>
      </w:r>
      <w:proofErr w:type="gramEnd"/>
      <w:r w:rsidRPr="002E0913">
        <w:rPr>
          <w:rFonts w:ascii="Arial" w:hAnsi="Arial" w:cs="Arial"/>
          <w:bCs/>
          <w:color w:val="000000"/>
          <w:sz w:val="18"/>
          <w:szCs w:val="18"/>
        </w:rPr>
        <w:t>(2):242-243. doi:10.1001/jamadermatol.2013.1798.</w:t>
      </w:r>
    </w:p>
    <w:p w:rsidR="009C214E" w:rsidRPr="00C1364F" w:rsidRDefault="009C214E" w:rsidP="009C214E">
      <w:pPr>
        <w:pStyle w:val="ListParagraph"/>
        <w:rPr>
          <w:rFonts w:ascii="Arial" w:hAnsi="Arial" w:cs="Arial"/>
          <w:bCs/>
          <w:color w:val="000000"/>
          <w:sz w:val="18"/>
          <w:szCs w:val="18"/>
        </w:rPr>
      </w:pPr>
    </w:p>
    <w:p w:rsidR="009C214E" w:rsidRPr="00C1364F" w:rsidRDefault="00891449" w:rsidP="009C214E">
      <w:pPr>
        <w:pStyle w:val="ListParagraph"/>
        <w:numPr>
          <w:ilvl w:val="0"/>
          <w:numId w:val="31"/>
        </w:numPr>
        <w:rPr>
          <w:rFonts w:ascii="Arial" w:hAnsi="Arial" w:cs="Arial"/>
          <w:bCs/>
          <w:color w:val="000000"/>
          <w:sz w:val="18"/>
          <w:szCs w:val="18"/>
        </w:rPr>
      </w:pPr>
      <w:proofErr w:type="spellStart"/>
      <w:r w:rsidRPr="00C1364F">
        <w:rPr>
          <w:rFonts w:ascii="Arial" w:hAnsi="Arial" w:cs="Arial"/>
          <w:bCs/>
          <w:color w:val="000000"/>
          <w:sz w:val="18"/>
          <w:szCs w:val="18"/>
        </w:rPr>
        <w:t>Cirrone</w:t>
      </w:r>
      <w:proofErr w:type="spellEnd"/>
      <w:r w:rsidRPr="00C1364F">
        <w:rPr>
          <w:rFonts w:ascii="Arial" w:hAnsi="Arial" w:cs="Arial"/>
          <w:bCs/>
          <w:color w:val="000000"/>
          <w:sz w:val="18"/>
          <w:szCs w:val="18"/>
        </w:rPr>
        <w:t xml:space="preserve"> F , Harris, CS  Vismodegib and the Hedgehog Pathway: A New Treatment</w:t>
      </w:r>
    </w:p>
    <w:p w:rsidR="009C214E" w:rsidRDefault="00891449" w:rsidP="009C214E">
      <w:pPr>
        <w:rPr>
          <w:rFonts w:ascii="Arial" w:hAnsi="Arial" w:cs="Arial"/>
          <w:bCs/>
          <w:color w:val="000000"/>
          <w:sz w:val="18"/>
          <w:szCs w:val="18"/>
        </w:rPr>
      </w:pPr>
      <w:r>
        <w:rPr>
          <w:rFonts w:ascii="Arial" w:hAnsi="Arial" w:cs="Arial"/>
          <w:bCs/>
          <w:color w:val="000000"/>
          <w:sz w:val="18"/>
          <w:szCs w:val="18"/>
        </w:rPr>
        <w:t xml:space="preserve"> </w:t>
      </w:r>
      <w:r>
        <w:rPr>
          <w:rFonts w:ascii="Arial" w:hAnsi="Arial" w:cs="Arial"/>
          <w:bCs/>
          <w:color w:val="000000"/>
          <w:sz w:val="18"/>
          <w:szCs w:val="18"/>
        </w:rPr>
        <w:tab/>
      </w:r>
      <w:proofErr w:type="gramStart"/>
      <w:r w:rsidRPr="00C1364F">
        <w:rPr>
          <w:rFonts w:ascii="Arial" w:hAnsi="Arial" w:cs="Arial"/>
          <w:bCs/>
          <w:color w:val="000000"/>
          <w:sz w:val="18"/>
          <w:szCs w:val="18"/>
        </w:rPr>
        <w:t>for</w:t>
      </w:r>
      <w:proofErr w:type="gramEnd"/>
      <w:r w:rsidRPr="00C1364F">
        <w:rPr>
          <w:rFonts w:ascii="Arial" w:hAnsi="Arial" w:cs="Arial"/>
          <w:bCs/>
          <w:color w:val="000000"/>
          <w:sz w:val="18"/>
          <w:szCs w:val="18"/>
        </w:rPr>
        <w:t xml:space="preserve"> Basal Cell Carcinoma </w:t>
      </w:r>
      <w:proofErr w:type="spellStart"/>
      <w:r w:rsidRPr="00C1364F">
        <w:rPr>
          <w:rFonts w:ascii="Arial" w:hAnsi="Arial" w:cs="Arial"/>
          <w:bCs/>
          <w:color w:val="000000"/>
          <w:sz w:val="18"/>
          <w:szCs w:val="18"/>
        </w:rPr>
        <w:t>Clin</w:t>
      </w:r>
      <w:proofErr w:type="spellEnd"/>
      <w:r w:rsidRPr="00C1364F">
        <w:rPr>
          <w:rFonts w:ascii="Arial" w:hAnsi="Arial" w:cs="Arial"/>
          <w:bCs/>
          <w:color w:val="000000"/>
          <w:sz w:val="18"/>
          <w:szCs w:val="18"/>
        </w:rPr>
        <w:t xml:space="preserve"> </w:t>
      </w:r>
      <w:proofErr w:type="spellStart"/>
      <w:r w:rsidRPr="00C1364F">
        <w:rPr>
          <w:rFonts w:ascii="Arial" w:hAnsi="Arial" w:cs="Arial"/>
          <w:bCs/>
          <w:color w:val="000000"/>
          <w:sz w:val="18"/>
          <w:szCs w:val="18"/>
        </w:rPr>
        <w:t>Ther</w:t>
      </w:r>
      <w:proofErr w:type="spellEnd"/>
      <w:r w:rsidRPr="00C1364F">
        <w:rPr>
          <w:rFonts w:ascii="Arial" w:hAnsi="Arial" w:cs="Arial"/>
          <w:bCs/>
          <w:color w:val="000000"/>
          <w:sz w:val="18"/>
          <w:szCs w:val="18"/>
        </w:rPr>
        <w:t>. 2012</w:t>
      </w:r>
      <w:proofErr w:type="gramStart"/>
      <w:r w:rsidRPr="00C1364F">
        <w:rPr>
          <w:rFonts w:ascii="Arial" w:hAnsi="Arial" w:cs="Arial"/>
          <w:bCs/>
          <w:color w:val="000000"/>
          <w:sz w:val="18"/>
          <w:szCs w:val="18"/>
        </w:rPr>
        <w:t>;34:2039</w:t>
      </w:r>
      <w:proofErr w:type="gramEnd"/>
      <w:r w:rsidRPr="00C1364F">
        <w:rPr>
          <w:rFonts w:ascii="Arial" w:hAnsi="Arial" w:cs="Arial"/>
          <w:bCs/>
          <w:color w:val="000000"/>
          <w:sz w:val="18"/>
          <w:szCs w:val="18"/>
        </w:rPr>
        <w:t>–2050) © 2012 Elsevier HS Journals, Inc.</w:t>
      </w:r>
    </w:p>
    <w:p w:rsidR="009C214E" w:rsidRDefault="00891449" w:rsidP="009C214E">
      <w:pPr>
        <w:rPr>
          <w:rFonts w:ascii="Arial" w:hAnsi="Arial" w:cs="Arial"/>
          <w:bCs/>
          <w:color w:val="000000"/>
          <w:sz w:val="18"/>
          <w:szCs w:val="18"/>
        </w:rPr>
      </w:pPr>
      <w:r>
        <w:rPr>
          <w:rFonts w:ascii="Arial" w:hAnsi="Arial" w:cs="Arial"/>
          <w:bCs/>
          <w:color w:val="000000"/>
          <w:sz w:val="18"/>
          <w:szCs w:val="18"/>
        </w:rPr>
        <w:tab/>
      </w:r>
    </w:p>
    <w:p w:rsidR="009C214E" w:rsidRDefault="009C214E" w:rsidP="009C214E">
      <w:pPr>
        <w:pStyle w:val="ListParagraph"/>
        <w:rPr>
          <w:b/>
          <w:u w:val="single"/>
        </w:rPr>
      </w:pPr>
    </w:p>
    <w:p w:rsidR="009C214E" w:rsidRDefault="00891449" w:rsidP="009C214E">
      <w:pPr>
        <w:pStyle w:val="FootnoteText"/>
        <w:pBdr>
          <w:top w:val="single" w:sz="4" w:space="1" w:color="auto"/>
          <w:bottom w:val="single" w:sz="4" w:space="1" w:color="auto"/>
        </w:pBdr>
        <w:outlineLvl w:val="0"/>
        <w:rPr>
          <w:rFonts w:ascii="Arial" w:hAnsi="Arial"/>
          <w:b/>
          <w:color w:val="000000"/>
        </w:rPr>
      </w:pPr>
      <w:r>
        <w:rPr>
          <w:rFonts w:ascii="Arial" w:hAnsi="Arial"/>
          <w:b/>
          <w:color w:val="000000"/>
        </w:rPr>
        <w:t xml:space="preserve">Prepared May 2013 Contact person: Jenna Houranieh, </w:t>
      </w:r>
      <w:proofErr w:type="spellStart"/>
      <w:r>
        <w:rPr>
          <w:rFonts w:ascii="Arial" w:hAnsi="Arial"/>
          <w:b/>
          <w:color w:val="000000"/>
        </w:rPr>
        <w:t>PharmD</w:t>
      </w:r>
      <w:proofErr w:type="spellEnd"/>
      <w:r>
        <w:rPr>
          <w:rFonts w:ascii="Arial" w:hAnsi="Arial"/>
          <w:b/>
          <w:color w:val="000000"/>
        </w:rPr>
        <w:t xml:space="preserve">/ Mark C. Geraci, </w:t>
      </w:r>
      <w:proofErr w:type="spellStart"/>
      <w:proofErr w:type="gramStart"/>
      <w:r>
        <w:rPr>
          <w:rFonts w:ascii="Arial" w:hAnsi="Arial"/>
          <w:b/>
          <w:color w:val="000000"/>
        </w:rPr>
        <w:t>Pharm.D</w:t>
      </w:r>
      <w:proofErr w:type="spellEnd"/>
      <w:r>
        <w:rPr>
          <w:rFonts w:ascii="Arial" w:hAnsi="Arial"/>
          <w:b/>
          <w:color w:val="000000"/>
        </w:rPr>
        <w:t>.,</w:t>
      </w:r>
      <w:proofErr w:type="gramEnd"/>
      <w:r>
        <w:rPr>
          <w:rFonts w:ascii="Arial" w:hAnsi="Arial"/>
          <w:b/>
          <w:color w:val="000000"/>
        </w:rPr>
        <w:t xml:space="preserve"> BCOP</w:t>
      </w:r>
      <w:r w:rsidR="003E067C">
        <w:rPr>
          <w:rFonts w:ascii="Arial" w:hAnsi="Arial"/>
          <w:b/>
          <w:color w:val="000000"/>
        </w:rPr>
        <w:t>/</w:t>
      </w:r>
      <w:proofErr w:type="spellStart"/>
      <w:r w:rsidR="003E067C">
        <w:rPr>
          <w:rFonts w:ascii="Arial" w:hAnsi="Arial"/>
          <w:b/>
          <w:color w:val="000000"/>
        </w:rPr>
        <w:t>Berni</w:t>
      </w:r>
      <w:proofErr w:type="spellEnd"/>
      <w:r w:rsidR="003E067C">
        <w:rPr>
          <w:rFonts w:ascii="Arial" w:hAnsi="Arial"/>
          <w:b/>
          <w:color w:val="000000"/>
        </w:rPr>
        <w:t xml:space="preserve"> Heron, </w:t>
      </w:r>
      <w:proofErr w:type="spellStart"/>
      <w:r w:rsidR="003E067C">
        <w:rPr>
          <w:rFonts w:ascii="Arial" w:hAnsi="Arial"/>
          <w:b/>
          <w:color w:val="000000"/>
        </w:rPr>
        <w:t>Pharm.D</w:t>
      </w:r>
      <w:proofErr w:type="spellEnd"/>
      <w:r w:rsidR="003E067C">
        <w:rPr>
          <w:rFonts w:ascii="Arial" w:hAnsi="Arial"/>
          <w:b/>
          <w:color w:val="000000"/>
        </w:rPr>
        <w:t>., BCOP</w:t>
      </w:r>
    </w:p>
    <w:p w:rsidR="009C214E" w:rsidRDefault="009C214E">
      <w:pPr>
        <w:pStyle w:val="FootnoteText"/>
        <w:rPr>
          <w:rFonts w:ascii="Arial" w:hAnsi="Arial"/>
          <w:color w:val="000000"/>
        </w:rPr>
        <w:sectPr w:rsidR="009C214E">
          <w:headerReference w:type="even" r:id="rId19"/>
          <w:headerReference w:type="default" r:id="rId20"/>
          <w:footerReference w:type="default" r:id="rId21"/>
          <w:headerReference w:type="first" r:id="rId22"/>
          <w:endnotePr>
            <w:numFmt w:val="decimal"/>
          </w:endnotePr>
          <w:type w:val="continuous"/>
          <w:pgSz w:w="12240" w:h="15840"/>
          <w:pgMar w:top="1440" w:right="1800" w:bottom="1440" w:left="1800" w:header="720" w:footer="606" w:gutter="0"/>
          <w:cols w:space="720"/>
        </w:sectPr>
      </w:pPr>
    </w:p>
    <w:p w:rsidR="009C214E" w:rsidRDefault="00891449" w:rsidP="009C214E">
      <w:pPr>
        <w:outlineLvl w:val="0"/>
        <w:rPr>
          <w:rFonts w:ascii="Arial" w:hAnsi="Arial" w:cs="Arial"/>
          <w:b/>
        </w:rPr>
      </w:pPr>
      <w:r>
        <w:rPr>
          <w:rFonts w:ascii="Arial" w:hAnsi="Arial" w:cs="Arial"/>
          <w:b/>
        </w:rPr>
        <w:lastRenderedPageBreak/>
        <w:t>Appendix 1: Approval Endpoints</w:t>
      </w:r>
    </w:p>
    <w:p w:rsidR="009C214E" w:rsidRPr="00E14064" w:rsidRDefault="009C214E">
      <w:pPr>
        <w:rPr>
          <w:rFonts w:ascii="Arial" w:hAnsi="Arial" w:cs="Arial"/>
          <w:b/>
        </w:rPr>
      </w:pPr>
    </w:p>
    <w:p w:rsidR="009C214E" w:rsidRPr="00C02F3C" w:rsidRDefault="00891449" w:rsidP="009C214E">
      <w:pPr>
        <w:ind w:left="-900"/>
        <w:outlineLvl w:val="0"/>
        <w:rPr>
          <w:sz w:val="20"/>
        </w:rPr>
      </w:pPr>
      <w:proofErr w:type="gramStart"/>
      <w:r w:rsidRPr="00C02F3C">
        <w:rPr>
          <w:b/>
          <w:bCs/>
          <w:sz w:val="20"/>
        </w:rPr>
        <w:t>Table 1.</w:t>
      </w:r>
      <w:proofErr w:type="gramEnd"/>
      <w:r w:rsidRPr="00C02F3C">
        <w:rPr>
          <w:b/>
          <w:bCs/>
          <w:sz w:val="20"/>
        </w:rPr>
        <w:t xml:space="preserve"> A Comparison of Important Cancer Approval Endpoints</w:t>
      </w:r>
    </w:p>
    <w:tbl>
      <w:tblPr>
        <w:tblW w:w="10715" w:type="dxa"/>
        <w:jc w:val="center"/>
        <w:tblInd w:w="-668" w:type="dxa"/>
        <w:tblBorders>
          <w:top w:val="nil"/>
          <w:left w:val="nil"/>
          <w:bottom w:val="nil"/>
          <w:right w:val="nil"/>
        </w:tblBorders>
        <w:tblLayout w:type="fixed"/>
        <w:tblLook w:val="0000" w:firstRow="0" w:lastRow="0" w:firstColumn="0" w:lastColumn="0" w:noHBand="0" w:noVBand="0"/>
      </w:tblPr>
      <w:tblGrid>
        <w:gridCol w:w="1856"/>
        <w:gridCol w:w="1980"/>
        <w:gridCol w:w="1890"/>
        <w:gridCol w:w="2494"/>
        <w:gridCol w:w="2495"/>
      </w:tblGrid>
      <w:tr w:rsidR="009C214E" w:rsidRPr="00F2098F">
        <w:trPr>
          <w:trHeight w:val="248"/>
          <w:jc w:val="center"/>
        </w:trPr>
        <w:tc>
          <w:tcPr>
            <w:tcW w:w="1856"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b/>
                <w:bCs/>
                <w:sz w:val="16"/>
                <w:szCs w:val="16"/>
              </w:rPr>
              <w:t xml:space="preserve">Endpoint </w:t>
            </w:r>
          </w:p>
        </w:tc>
        <w:tc>
          <w:tcPr>
            <w:tcW w:w="198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b/>
                <w:bCs/>
                <w:sz w:val="16"/>
                <w:szCs w:val="16"/>
              </w:rPr>
              <w:t xml:space="preserve">Regulatory Evidence </w:t>
            </w:r>
          </w:p>
        </w:tc>
        <w:tc>
          <w:tcPr>
            <w:tcW w:w="189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b/>
                <w:bCs/>
                <w:sz w:val="16"/>
                <w:szCs w:val="16"/>
              </w:rPr>
              <w:t xml:space="preserve">Study Design </w:t>
            </w:r>
          </w:p>
        </w:tc>
        <w:tc>
          <w:tcPr>
            <w:tcW w:w="2494"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b/>
                <w:bCs/>
                <w:sz w:val="16"/>
                <w:szCs w:val="16"/>
              </w:rPr>
              <w:t xml:space="preserve">Advantages </w:t>
            </w:r>
          </w:p>
        </w:tc>
        <w:tc>
          <w:tcPr>
            <w:tcW w:w="2495"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b/>
                <w:bCs/>
                <w:sz w:val="16"/>
                <w:szCs w:val="16"/>
              </w:rPr>
              <w:t xml:space="preserve">Disadvantages </w:t>
            </w:r>
          </w:p>
        </w:tc>
      </w:tr>
      <w:tr w:rsidR="009C214E" w:rsidRPr="00F2098F">
        <w:trPr>
          <w:trHeight w:val="248"/>
          <w:jc w:val="center"/>
        </w:trPr>
        <w:tc>
          <w:tcPr>
            <w:tcW w:w="1856"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Overall Survival </w:t>
            </w:r>
          </w:p>
        </w:tc>
        <w:tc>
          <w:tcPr>
            <w:tcW w:w="198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Clinical benefit for regular approval </w:t>
            </w:r>
          </w:p>
        </w:tc>
        <w:tc>
          <w:tcPr>
            <w:tcW w:w="189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Randomized studies essential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Blinding not essential </w:t>
            </w:r>
          </w:p>
          <w:p w:rsidR="009C214E" w:rsidRPr="0030782F" w:rsidRDefault="009C214E" w:rsidP="009C214E">
            <w:pPr>
              <w:pStyle w:val="Default"/>
              <w:rPr>
                <w:rFonts w:ascii="Calibri" w:hAnsi="Calibri" w:cs="Calibri"/>
                <w:bCs/>
                <w:sz w:val="16"/>
                <w:szCs w:val="16"/>
              </w:rPr>
            </w:pPr>
          </w:p>
        </w:tc>
        <w:tc>
          <w:tcPr>
            <w:tcW w:w="2494"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Universally accepted direct measure of benefit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Easily measured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Precisely measured </w:t>
            </w:r>
          </w:p>
          <w:p w:rsidR="009C214E" w:rsidRPr="0030782F" w:rsidRDefault="009C214E" w:rsidP="009C214E">
            <w:pPr>
              <w:pStyle w:val="Default"/>
              <w:rPr>
                <w:rFonts w:ascii="Calibri" w:hAnsi="Calibri" w:cs="Calibri"/>
                <w:bCs/>
                <w:sz w:val="16"/>
                <w:szCs w:val="16"/>
              </w:rPr>
            </w:pPr>
          </w:p>
        </w:tc>
        <w:tc>
          <w:tcPr>
            <w:tcW w:w="2495"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May involve larger studies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May be affected by crossover therapy and sequential therapy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Includes </w:t>
            </w:r>
            <w:proofErr w:type="spellStart"/>
            <w:r w:rsidRPr="0030782F">
              <w:rPr>
                <w:rFonts w:ascii="Calibri" w:hAnsi="Calibri" w:cs="Calibri"/>
                <w:bCs/>
                <w:sz w:val="16"/>
                <w:szCs w:val="16"/>
              </w:rPr>
              <w:t>noncancer</w:t>
            </w:r>
            <w:proofErr w:type="spellEnd"/>
            <w:r w:rsidRPr="0030782F">
              <w:rPr>
                <w:rFonts w:ascii="Calibri" w:hAnsi="Calibri" w:cs="Calibri"/>
                <w:bCs/>
                <w:sz w:val="16"/>
                <w:szCs w:val="16"/>
              </w:rPr>
              <w:t xml:space="preserve"> deaths </w:t>
            </w:r>
          </w:p>
        </w:tc>
      </w:tr>
      <w:tr w:rsidR="009C214E" w:rsidRPr="00F2098F">
        <w:trPr>
          <w:trHeight w:val="248"/>
          <w:jc w:val="center"/>
        </w:trPr>
        <w:tc>
          <w:tcPr>
            <w:tcW w:w="1856"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Symptom Endpoints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(patient-reported outcomes) </w:t>
            </w:r>
          </w:p>
        </w:tc>
        <w:tc>
          <w:tcPr>
            <w:tcW w:w="198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Clinical benefit for regular approval </w:t>
            </w:r>
          </w:p>
        </w:tc>
        <w:tc>
          <w:tcPr>
            <w:tcW w:w="189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Randomized blinded studies </w:t>
            </w:r>
          </w:p>
          <w:p w:rsidR="009C214E" w:rsidRPr="0030782F" w:rsidRDefault="009C214E" w:rsidP="009C214E">
            <w:pPr>
              <w:pStyle w:val="Default"/>
              <w:rPr>
                <w:rFonts w:ascii="Calibri" w:hAnsi="Calibri" w:cs="Calibri"/>
                <w:bCs/>
                <w:sz w:val="16"/>
                <w:szCs w:val="16"/>
              </w:rPr>
            </w:pPr>
          </w:p>
        </w:tc>
        <w:tc>
          <w:tcPr>
            <w:tcW w:w="2494"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Patient perspective of direct clinical benefit </w:t>
            </w:r>
          </w:p>
          <w:p w:rsidR="009C214E" w:rsidRPr="0030782F" w:rsidRDefault="009C214E" w:rsidP="009C214E">
            <w:pPr>
              <w:pStyle w:val="Default"/>
              <w:rPr>
                <w:rFonts w:ascii="Calibri" w:hAnsi="Calibri" w:cs="Calibri"/>
                <w:bCs/>
                <w:sz w:val="16"/>
                <w:szCs w:val="16"/>
              </w:rPr>
            </w:pPr>
          </w:p>
        </w:tc>
        <w:tc>
          <w:tcPr>
            <w:tcW w:w="2495"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Blinding is often difficult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Data are frequently missing or incomplete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Clinical significance of small changes is unknown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Multiple analyses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Lack of validated instruments </w:t>
            </w:r>
          </w:p>
        </w:tc>
      </w:tr>
      <w:tr w:rsidR="009C214E" w:rsidRPr="00F2098F">
        <w:trPr>
          <w:trHeight w:val="248"/>
          <w:jc w:val="center"/>
        </w:trPr>
        <w:tc>
          <w:tcPr>
            <w:tcW w:w="1856"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Disease-Free Survival </w:t>
            </w:r>
          </w:p>
        </w:tc>
        <w:tc>
          <w:tcPr>
            <w:tcW w:w="198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Surrogate for accelerated approval or regular approval* </w:t>
            </w:r>
          </w:p>
        </w:tc>
        <w:tc>
          <w:tcPr>
            <w:tcW w:w="189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Randomized studies essential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Blinding preferred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Blinded review recommended </w:t>
            </w:r>
          </w:p>
          <w:p w:rsidR="009C214E" w:rsidRPr="0030782F" w:rsidRDefault="009C214E" w:rsidP="009C214E">
            <w:pPr>
              <w:pStyle w:val="Default"/>
              <w:rPr>
                <w:rFonts w:ascii="Calibri" w:hAnsi="Calibri" w:cs="Calibri"/>
                <w:bCs/>
                <w:sz w:val="16"/>
                <w:szCs w:val="16"/>
              </w:rPr>
            </w:pPr>
          </w:p>
        </w:tc>
        <w:tc>
          <w:tcPr>
            <w:tcW w:w="2494"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Smaller sample size and shorter follow-up necessary compared with survival studies </w:t>
            </w:r>
          </w:p>
          <w:p w:rsidR="009C214E" w:rsidRPr="0030782F" w:rsidRDefault="009C214E" w:rsidP="009C214E">
            <w:pPr>
              <w:pStyle w:val="Default"/>
              <w:rPr>
                <w:rFonts w:ascii="Calibri" w:hAnsi="Calibri" w:cs="Calibri"/>
                <w:bCs/>
                <w:sz w:val="16"/>
                <w:szCs w:val="16"/>
              </w:rPr>
            </w:pPr>
          </w:p>
        </w:tc>
        <w:tc>
          <w:tcPr>
            <w:tcW w:w="2495"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Not statistically validated as surrogate for survival in all settings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Not precisely measured; subject to assessment bias, particularly in open-label studies </w:t>
            </w:r>
          </w:p>
          <w:p w:rsidR="009C214E" w:rsidRPr="0030782F" w:rsidRDefault="00891449" w:rsidP="009C214E">
            <w:pPr>
              <w:pStyle w:val="Default"/>
              <w:rPr>
                <w:rFonts w:ascii="Calibri" w:hAnsi="Calibri" w:cs="Calibri"/>
                <w:bCs/>
                <w:sz w:val="16"/>
                <w:szCs w:val="16"/>
              </w:rPr>
            </w:pPr>
            <w:r w:rsidRPr="0030782F">
              <w:rPr>
                <w:rFonts w:ascii="Calibri" w:hAnsi="Calibri" w:cs="Calibri"/>
                <w:bCs/>
                <w:sz w:val="16"/>
                <w:szCs w:val="16"/>
              </w:rPr>
              <w:t xml:space="preserve">• Definitions vary among studies </w:t>
            </w:r>
          </w:p>
        </w:tc>
      </w:tr>
      <w:tr w:rsidR="009C214E" w:rsidRPr="00F2098F">
        <w:trPr>
          <w:trHeight w:val="248"/>
          <w:jc w:val="center"/>
        </w:trPr>
        <w:tc>
          <w:tcPr>
            <w:tcW w:w="1856"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Objective Response Rate</w:t>
            </w:r>
          </w:p>
        </w:tc>
        <w:tc>
          <w:tcPr>
            <w:tcW w:w="198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Surrogate for accelerated approval or regular approval*</w:t>
            </w:r>
          </w:p>
        </w:tc>
        <w:tc>
          <w:tcPr>
            <w:tcW w:w="189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Single-arm or randomized studies can be used </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Blinding preferred in comparative studies </w:t>
            </w:r>
          </w:p>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 Blinded review recommended</w:t>
            </w:r>
          </w:p>
        </w:tc>
        <w:tc>
          <w:tcPr>
            <w:tcW w:w="2494"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Can be assessed in single-arm studies </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Assessed earlier and in smaller studies compared with survival studies </w:t>
            </w:r>
          </w:p>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 Effect attributable to drug, not natural history</w:t>
            </w:r>
          </w:p>
        </w:tc>
        <w:tc>
          <w:tcPr>
            <w:tcW w:w="2495"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Not a direct measure of benefit in all cases </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Not a comprehensive measure of drug activity </w:t>
            </w:r>
          </w:p>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 Only a subset of patients with benefit</w:t>
            </w:r>
          </w:p>
        </w:tc>
      </w:tr>
      <w:tr w:rsidR="009C214E" w:rsidRPr="00F2098F">
        <w:trPr>
          <w:trHeight w:val="248"/>
          <w:jc w:val="center"/>
        </w:trPr>
        <w:tc>
          <w:tcPr>
            <w:tcW w:w="1856"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Complete Response</w:t>
            </w:r>
          </w:p>
        </w:tc>
        <w:tc>
          <w:tcPr>
            <w:tcW w:w="198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Surrogate for accelerated approval or regular approval*</w:t>
            </w:r>
          </w:p>
        </w:tc>
        <w:tc>
          <w:tcPr>
            <w:tcW w:w="189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Single-arm or randomized studies can be used </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Blinding preferred in comparative studies </w:t>
            </w:r>
          </w:p>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 Blinded review recommended</w:t>
            </w:r>
          </w:p>
        </w:tc>
        <w:tc>
          <w:tcPr>
            <w:tcW w:w="2494"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Can be assessed in single-arm studies </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Durable complete responses can represent clinical benefit </w:t>
            </w:r>
          </w:p>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 Assessed earlier and in smaller studies compared with survival studies</w:t>
            </w:r>
          </w:p>
        </w:tc>
        <w:tc>
          <w:tcPr>
            <w:tcW w:w="2495"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Not a direct measure of benefit in all cases</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 Not a comprehensive measure of drug activity </w:t>
            </w:r>
          </w:p>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 Small subset of patients with benefit</w:t>
            </w:r>
          </w:p>
        </w:tc>
      </w:tr>
      <w:tr w:rsidR="009C214E" w:rsidRPr="00F2098F">
        <w:trPr>
          <w:trHeight w:val="248"/>
          <w:jc w:val="center"/>
        </w:trPr>
        <w:tc>
          <w:tcPr>
            <w:tcW w:w="1856"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Progression- Free Survival (includes all deaths) or Time to Progression (deaths before progression censored)</w:t>
            </w:r>
          </w:p>
        </w:tc>
        <w:tc>
          <w:tcPr>
            <w:tcW w:w="198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Surrogate for accelerated approval or regular approval*</w:t>
            </w:r>
          </w:p>
        </w:tc>
        <w:tc>
          <w:tcPr>
            <w:tcW w:w="1890"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Randomized studies essential </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Blinding preferred </w:t>
            </w:r>
          </w:p>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 Blinded review recommended</w:t>
            </w:r>
          </w:p>
        </w:tc>
        <w:tc>
          <w:tcPr>
            <w:tcW w:w="2494"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Smaller sample size and shorter follow-up necessary compared with survival studies </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Measurement of stable disease included </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Not affected by crossover or subsequent therapies </w:t>
            </w:r>
          </w:p>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 Generally based on objective and quantitative assessment</w:t>
            </w:r>
          </w:p>
        </w:tc>
        <w:tc>
          <w:tcPr>
            <w:tcW w:w="2495" w:type="dxa"/>
            <w:tcBorders>
              <w:top w:val="single" w:sz="8" w:space="0" w:color="000000"/>
              <w:left w:val="single" w:sz="8" w:space="0" w:color="000000"/>
              <w:bottom w:val="single" w:sz="8" w:space="0" w:color="000000"/>
              <w:right w:val="single" w:sz="8" w:space="0" w:color="000000"/>
            </w:tcBorders>
          </w:tcPr>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Not statistically validated as surrogate for survival in all settings </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Not precisely measured; subject to assessment bias particularly in open-label studies </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Definitions vary among studies </w:t>
            </w:r>
          </w:p>
          <w:p w:rsidR="009C214E" w:rsidRPr="0030782F" w:rsidRDefault="00891449" w:rsidP="009C214E">
            <w:pPr>
              <w:pStyle w:val="Default"/>
              <w:rPr>
                <w:rFonts w:ascii="Calibri" w:hAnsi="Calibri" w:cs="Calibri"/>
                <w:sz w:val="16"/>
                <w:szCs w:val="16"/>
              </w:rPr>
            </w:pPr>
            <w:r w:rsidRPr="0030782F">
              <w:rPr>
                <w:rFonts w:ascii="Calibri" w:hAnsi="Calibri" w:cs="Calibri"/>
                <w:sz w:val="16"/>
                <w:szCs w:val="16"/>
              </w:rPr>
              <w:t xml:space="preserve">• Frequent radiological or other assessments </w:t>
            </w:r>
          </w:p>
          <w:p w:rsidR="009C214E" w:rsidRPr="0030782F" w:rsidRDefault="00891449" w:rsidP="009C214E">
            <w:pPr>
              <w:pStyle w:val="Default"/>
              <w:rPr>
                <w:rFonts w:ascii="Calibri" w:hAnsi="Calibri" w:cs="Calibri"/>
                <w:b/>
                <w:bCs/>
                <w:sz w:val="16"/>
                <w:szCs w:val="16"/>
              </w:rPr>
            </w:pPr>
            <w:r w:rsidRPr="0030782F">
              <w:rPr>
                <w:rFonts w:ascii="Calibri" w:hAnsi="Calibri" w:cs="Calibri"/>
                <w:sz w:val="16"/>
                <w:szCs w:val="16"/>
              </w:rPr>
              <w:t>• Involves balanced timing of assessments among treatment arms</w:t>
            </w:r>
          </w:p>
        </w:tc>
      </w:tr>
    </w:tbl>
    <w:p w:rsidR="009C214E" w:rsidRPr="00F2098F" w:rsidRDefault="00891449" w:rsidP="009C214E">
      <w:pPr>
        <w:ind w:left="-900"/>
        <w:rPr>
          <w:rFonts w:ascii="Calibri" w:hAnsi="Calibri" w:cs="Calibri"/>
          <w:sz w:val="16"/>
          <w:szCs w:val="16"/>
        </w:rPr>
      </w:pPr>
      <w:r w:rsidRPr="00F2098F">
        <w:rPr>
          <w:rFonts w:ascii="Calibri" w:hAnsi="Calibri" w:cs="Calibri"/>
          <w:sz w:val="16"/>
          <w:szCs w:val="16"/>
        </w:rPr>
        <w:t>*Adequacy as a surrogate endpoint for accelerated approval or regular approval is highly dependent upon other factors such as effect size, effect duration, and benefits of other available therapy. See text for details.</w:t>
      </w:r>
    </w:p>
    <w:p w:rsidR="009C214E" w:rsidRPr="00441747" w:rsidRDefault="00891449" w:rsidP="009C214E">
      <w:pPr>
        <w:pStyle w:val="Default"/>
        <w:ind w:left="-900" w:right="-540"/>
        <w:rPr>
          <w:sz w:val="16"/>
          <w:szCs w:val="16"/>
        </w:rPr>
      </w:pPr>
      <w:r w:rsidRPr="00441747">
        <w:rPr>
          <w:b/>
          <w:bCs/>
          <w:sz w:val="16"/>
          <w:szCs w:val="16"/>
        </w:rPr>
        <w:t>Guidance for Industry</w:t>
      </w:r>
      <w:r>
        <w:rPr>
          <w:b/>
          <w:bCs/>
          <w:sz w:val="16"/>
          <w:szCs w:val="16"/>
        </w:rPr>
        <w:t xml:space="preserve">: </w:t>
      </w:r>
      <w:r w:rsidRPr="00441747">
        <w:rPr>
          <w:b/>
          <w:bCs/>
          <w:sz w:val="16"/>
          <w:szCs w:val="16"/>
        </w:rPr>
        <w:t>Clinical Trial Endpoints for the Approval of Cancer Drugs and Biologics</w:t>
      </w:r>
      <w:r>
        <w:rPr>
          <w:b/>
          <w:bCs/>
          <w:sz w:val="16"/>
          <w:szCs w:val="16"/>
        </w:rPr>
        <w:t xml:space="preserve">. </w:t>
      </w:r>
      <w:r w:rsidRPr="00441747">
        <w:rPr>
          <w:sz w:val="16"/>
          <w:szCs w:val="16"/>
        </w:rPr>
        <w:t xml:space="preserve"> </w:t>
      </w:r>
      <w:r w:rsidRPr="00441747">
        <w:rPr>
          <w:b/>
          <w:bCs/>
          <w:sz w:val="16"/>
          <w:szCs w:val="16"/>
        </w:rPr>
        <w:t>U.S. Department of Health and Human Services</w:t>
      </w:r>
      <w:r>
        <w:rPr>
          <w:b/>
          <w:bCs/>
          <w:sz w:val="16"/>
          <w:szCs w:val="16"/>
        </w:rPr>
        <w:t>,</w:t>
      </w:r>
      <w:r w:rsidRPr="00441747">
        <w:rPr>
          <w:b/>
          <w:bCs/>
          <w:sz w:val="16"/>
          <w:szCs w:val="16"/>
        </w:rPr>
        <w:t xml:space="preserve"> Food and Drug Administration</w:t>
      </w:r>
      <w:r>
        <w:rPr>
          <w:b/>
          <w:bCs/>
          <w:sz w:val="16"/>
          <w:szCs w:val="16"/>
        </w:rPr>
        <w:t xml:space="preserve">, </w:t>
      </w:r>
      <w:r w:rsidRPr="00441747">
        <w:rPr>
          <w:b/>
          <w:bCs/>
          <w:sz w:val="16"/>
          <w:szCs w:val="16"/>
        </w:rPr>
        <w:t>Center for Drug Evaluation and Research (CDER)</w:t>
      </w:r>
      <w:r>
        <w:rPr>
          <w:b/>
          <w:bCs/>
          <w:sz w:val="16"/>
          <w:szCs w:val="16"/>
        </w:rPr>
        <w:t xml:space="preserve">, </w:t>
      </w:r>
      <w:r w:rsidRPr="00441747">
        <w:rPr>
          <w:b/>
          <w:bCs/>
          <w:sz w:val="16"/>
          <w:szCs w:val="16"/>
        </w:rPr>
        <w:t>Center for Biologics Evaluation and Research (CBER)</w:t>
      </w:r>
      <w:r>
        <w:rPr>
          <w:b/>
          <w:bCs/>
          <w:sz w:val="16"/>
          <w:szCs w:val="16"/>
        </w:rPr>
        <w:t xml:space="preserve">, </w:t>
      </w:r>
      <w:r w:rsidRPr="00441747">
        <w:rPr>
          <w:b/>
          <w:bCs/>
          <w:sz w:val="16"/>
          <w:szCs w:val="16"/>
        </w:rPr>
        <w:t>May 2007</w:t>
      </w:r>
      <w:r>
        <w:rPr>
          <w:b/>
          <w:bCs/>
          <w:sz w:val="16"/>
          <w:szCs w:val="16"/>
        </w:rPr>
        <w:t>.</w:t>
      </w:r>
    </w:p>
    <w:p w:rsidR="009C214E" w:rsidRDefault="00891449">
      <w:r>
        <w:br w:type="page"/>
      </w:r>
    </w:p>
    <w:p w:rsidR="009C214E" w:rsidRDefault="00891449" w:rsidP="009C214E">
      <w:pPr>
        <w:pStyle w:val="Heading1"/>
      </w:pPr>
      <w:bookmarkStart w:id="2" w:name="_Ref80503441"/>
      <w:r>
        <w:lastRenderedPageBreak/>
        <w:t>Appendix 2:  Clinical Trials</w:t>
      </w:r>
      <w:bookmarkEnd w:id="2"/>
    </w:p>
    <w:p w:rsidR="009C214E" w:rsidRDefault="009C214E"/>
    <w:p w:rsidR="009C214E" w:rsidRDefault="00891449">
      <w:r w:rsidRPr="00BC6BCA">
        <w:t xml:space="preserve">A literature search was performed on PubMed/Medline using the search term vismodegib through April 18, 2013.  The search was limited to clinical trials in humans that were published in the English language.  Reference lists of review articles were searched for additional relevant clinical trials.  At the time of the initial review, there were two trials available for review, one Phase I trial and one Phase </w:t>
      </w:r>
      <w:r>
        <w:t>2</w:t>
      </w:r>
      <w:r w:rsidRPr="00BC6BCA">
        <w:t xml:space="preserve"> trial.</w:t>
      </w:r>
    </w:p>
    <w:p w:rsidR="009C214E" w:rsidRDefault="009C214E"/>
    <w:p w:rsidR="009C214E" w:rsidRPr="006019A5" w:rsidRDefault="009C214E" w:rsidP="009C214E">
      <w:pPr>
        <w:pStyle w:val="BodyText"/>
        <w:rPr>
          <w:color w:val="000000"/>
        </w:rPr>
        <w:sectPr w:rsidR="009C214E" w:rsidRPr="006019A5">
          <w:pgSz w:w="12240" w:h="15840"/>
          <w:pgMar w:top="1440" w:right="1800" w:bottom="1440" w:left="1800" w:header="720" w:footer="606" w:gutter="0"/>
          <w:cols w:space="720"/>
        </w:sectPr>
      </w:pPr>
    </w:p>
    <w:p w:rsidR="009C214E" w:rsidRDefault="0062245E" w:rsidP="009C214E">
      <w:pPr>
        <w:pStyle w:val="Caption"/>
      </w:pPr>
      <w:proofErr w:type="gramStart"/>
      <w:r>
        <w:lastRenderedPageBreak/>
        <w:t>Table 2.</w:t>
      </w:r>
      <w:proofErr w:type="gramEnd"/>
      <w:r>
        <w:t xml:space="preserve"> Vismodegib Clinical Trials</w:t>
      </w:r>
    </w:p>
    <w:p w:rsidR="009C214E" w:rsidRPr="00DB110F" w:rsidRDefault="009C214E" w:rsidP="009C214E"/>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020"/>
      </w:tblGrid>
      <w:tr w:rsidR="009C214E" w:rsidRPr="003303E8">
        <w:trPr>
          <w:trHeight w:val="255"/>
        </w:trPr>
        <w:tc>
          <w:tcPr>
            <w:tcW w:w="1710" w:type="dxa"/>
          </w:tcPr>
          <w:p w:rsidR="009C214E" w:rsidRPr="003B20B4" w:rsidRDefault="00891449" w:rsidP="009C214E">
            <w:pPr>
              <w:pStyle w:val="Heading7"/>
              <w:rPr>
                <w:rFonts w:cs="Arial"/>
                <w:szCs w:val="18"/>
              </w:rPr>
            </w:pPr>
            <w:r w:rsidRPr="003B20B4">
              <w:rPr>
                <w:rFonts w:cs="Arial"/>
                <w:szCs w:val="18"/>
              </w:rPr>
              <w:t>Citation</w:t>
            </w:r>
          </w:p>
        </w:tc>
        <w:tc>
          <w:tcPr>
            <w:tcW w:w="7020" w:type="dxa"/>
          </w:tcPr>
          <w:p w:rsidR="009C214E" w:rsidRPr="003B20B4" w:rsidRDefault="00891449" w:rsidP="009C214E">
            <w:pPr>
              <w:pStyle w:val="Heading7"/>
              <w:rPr>
                <w:rFonts w:cs="Arial"/>
                <w:color w:val="000000"/>
                <w:szCs w:val="18"/>
              </w:rPr>
            </w:pPr>
            <w:r w:rsidRPr="003B20B4">
              <w:rPr>
                <w:rFonts w:cs="Arial"/>
                <w:szCs w:val="18"/>
              </w:rPr>
              <w:t xml:space="preserve">Von Hoff D, </w:t>
            </w:r>
            <w:proofErr w:type="spellStart"/>
            <w:r w:rsidRPr="003B20B4">
              <w:rPr>
                <w:rFonts w:cs="Arial"/>
                <w:szCs w:val="18"/>
              </w:rPr>
              <w:t>LoRusso</w:t>
            </w:r>
            <w:proofErr w:type="spellEnd"/>
            <w:r w:rsidRPr="003B20B4">
              <w:rPr>
                <w:rFonts w:cs="Arial"/>
                <w:szCs w:val="18"/>
              </w:rPr>
              <w:t xml:space="preserve">, PM, </w:t>
            </w:r>
            <w:proofErr w:type="spellStart"/>
            <w:r w:rsidRPr="003B20B4">
              <w:rPr>
                <w:rFonts w:cs="Arial"/>
                <w:szCs w:val="18"/>
              </w:rPr>
              <w:t>Rudin</w:t>
            </w:r>
            <w:proofErr w:type="spellEnd"/>
            <w:r w:rsidRPr="003B20B4">
              <w:rPr>
                <w:rFonts w:cs="Arial"/>
                <w:szCs w:val="18"/>
              </w:rPr>
              <w:t xml:space="preserve">, CM.  Inhibition of the Hedgehog pathway in Advanced Basal-Cell </w:t>
            </w:r>
            <w:proofErr w:type="gramStart"/>
            <w:r w:rsidRPr="003B20B4">
              <w:rPr>
                <w:rFonts w:cs="Arial"/>
                <w:szCs w:val="18"/>
              </w:rPr>
              <w:t>Carcinoma  New</w:t>
            </w:r>
            <w:proofErr w:type="gramEnd"/>
            <w:r w:rsidRPr="003B20B4">
              <w:rPr>
                <w:rFonts w:cs="Arial"/>
                <w:szCs w:val="18"/>
              </w:rPr>
              <w:t xml:space="preserve"> England Journal of Medicine 2009;361:1164-72 </w:t>
            </w:r>
          </w:p>
        </w:tc>
      </w:tr>
      <w:tr w:rsidR="009C214E" w:rsidRPr="003303E8">
        <w:trPr>
          <w:trHeight w:val="195"/>
        </w:trPr>
        <w:tc>
          <w:tcPr>
            <w:tcW w:w="1710" w:type="dxa"/>
          </w:tcPr>
          <w:p w:rsidR="009C214E" w:rsidRPr="003B20B4" w:rsidRDefault="00891449" w:rsidP="009C214E">
            <w:pPr>
              <w:pStyle w:val="Heading7"/>
              <w:rPr>
                <w:rFonts w:cs="Arial"/>
                <w:szCs w:val="18"/>
              </w:rPr>
            </w:pPr>
            <w:r w:rsidRPr="003B20B4">
              <w:rPr>
                <w:rFonts w:cs="Arial"/>
                <w:szCs w:val="18"/>
              </w:rPr>
              <w:t>Study Goals</w:t>
            </w:r>
          </w:p>
        </w:tc>
        <w:tc>
          <w:tcPr>
            <w:tcW w:w="7020" w:type="dxa"/>
          </w:tcPr>
          <w:p w:rsidR="009C214E" w:rsidRPr="003B20B4" w:rsidRDefault="00891449" w:rsidP="009C214E">
            <w:pPr>
              <w:pStyle w:val="Heading2"/>
              <w:rPr>
                <w:rFonts w:cs="Arial"/>
                <w:b w:val="0"/>
                <w:color w:val="000000"/>
                <w:sz w:val="18"/>
                <w:szCs w:val="18"/>
              </w:rPr>
            </w:pPr>
            <w:proofErr w:type="gramStart"/>
            <w:r w:rsidRPr="003B20B4">
              <w:rPr>
                <w:rFonts w:cs="Arial"/>
                <w:b w:val="0"/>
                <w:color w:val="000000"/>
                <w:sz w:val="18"/>
                <w:szCs w:val="18"/>
              </w:rPr>
              <w:t>Phase</w:t>
            </w:r>
            <w:proofErr w:type="gramEnd"/>
            <w:r w:rsidRPr="003B20B4">
              <w:rPr>
                <w:rFonts w:cs="Arial"/>
                <w:b w:val="0"/>
                <w:color w:val="000000"/>
                <w:sz w:val="18"/>
                <w:szCs w:val="18"/>
              </w:rPr>
              <w:t xml:space="preserve"> I clinical trial assessing the safety and pharmacokinetics of vismodegib and responses of metastatic or locally advanced basal cell carcinoma.</w:t>
            </w:r>
          </w:p>
        </w:tc>
      </w:tr>
      <w:tr w:rsidR="009C214E" w:rsidRPr="003303E8">
        <w:trPr>
          <w:trHeight w:val="917"/>
        </w:trPr>
        <w:tc>
          <w:tcPr>
            <w:tcW w:w="1710" w:type="dxa"/>
          </w:tcPr>
          <w:p w:rsidR="009C214E" w:rsidRPr="003B20B4" w:rsidRDefault="00891449" w:rsidP="009C214E">
            <w:pPr>
              <w:pStyle w:val="Heading7"/>
              <w:rPr>
                <w:rFonts w:cs="Arial"/>
                <w:szCs w:val="18"/>
              </w:rPr>
            </w:pPr>
            <w:r w:rsidRPr="003B20B4">
              <w:rPr>
                <w:rFonts w:cs="Arial"/>
                <w:szCs w:val="18"/>
              </w:rPr>
              <w:t>Methods</w:t>
            </w:r>
          </w:p>
        </w:tc>
        <w:tc>
          <w:tcPr>
            <w:tcW w:w="7020" w:type="dxa"/>
          </w:tcPr>
          <w:p w:rsidR="009C214E" w:rsidRPr="003B20B4" w:rsidRDefault="00891449" w:rsidP="009C214E">
            <w:pPr>
              <w:pStyle w:val="Heading7"/>
              <w:rPr>
                <w:rFonts w:cs="Arial"/>
                <w:b w:val="0"/>
                <w:szCs w:val="18"/>
              </w:rPr>
            </w:pPr>
            <w:r w:rsidRPr="003B20B4">
              <w:rPr>
                <w:rFonts w:cs="Arial"/>
                <w:b w:val="0"/>
                <w:szCs w:val="18"/>
              </w:rPr>
              <w:t xml:space="preserve">Thirty-three patients with metastatic or locally advanced basal cell carcinoma were selected.  </w:t>
            </w:r>
          </w:p>
          <w:p w:rsidR="009C214E" w:rsidRPr="003B20B4" w:rsidRDefault="00891449" w:rsidP="009C214E">
            <w:pPr>
              <w:pStyle w:val="Heading7"/>
              <w:rPr>
                <w:rFonts w:cs="Arial"/>
                <w:b w:val="0"/>
                <w:szCs w:val="18"/>
              </w:rPr>
            </w:pPr>
            <w:r w:rsidRPr="003B20B4">
              <w:rPr>
                <w:rFonts w:cs="Arial"/>
                <w:b w:val="0"/>
                <w:szCs w:val="18"/>
              </w:rPr>
              <w:t>Median age was 53 years old, 76% were male, 85% had undergone previous surgery, 58% radiotherapy and 45% systemic therapy, 18 patients with metastatic disease and 15 with locally advanced disease.</w:t>
            </w:r>
          </w:p>
          <w:p w:rsidR="009C214E" w:rsidRPr="004B0DE1" w:rsidRDefault="00891449" w:rsidP="009C214E">
            <w:pPr>
              <w:pStyle w:val="Table"/>
              <w:rPr>
                <w:rFonts w:cs="Arial"/>
                <w:szCs w:val="18"/>
              </w:rPr>
            </w:pPr>
            <w:r w:rsidRPr="003B20B4">
              <w:rPr>
                <w:rFonts w:cs="Arial"/>
                <w:szCs w:val="18"/>
              </w:rPr>
              <w:t>Study Design : Open label, multicenter two-stage Phase I trial to evaluate the safety</w:t>
            </w:r>
            <w:r w:rsidRPr="00340041">
              <w:rPr>
                <w:rFonts w:cs="Arial"/>
                <w:szCs w:val="18"/>
              </w:rPr>
              <w:t xml:space="preserve"> and tolerability </w:t>
            </w:r>
          </w:p>
          <w:p w:rsidR="009C214E" w:rsidRPr="004B0DE1" w:rsidRDefault="009C214E" w:rsidP="009C214E">
            <w:pPr>
              <w:pStyle w:val="Table"/>
              <w:rPr>
                <w:rFonts w:cs="Arial"/>
                <w:b/>
                <w:szCs w:val="18"/>
              </w:rPr>
            </w:pPr>
          </w:p>
        </w:tc>
      </w:tr>
      <w:tr w:rsidR="009C214E" w:rsidRPr="003303E8">
        <w:trPr>
          <w:trHeight w:val="197"/>
        </w:trPr>
        <w:tc>
          <w:tcPr>
            <w:tcW w:w="1710" w:type="dxa"/>
          </w:tcPr>
          <w:p w:rsidR="009C214E" w:rsidRPr="003B20B4" w:rsidRDefault="00891449" w:rsidP="009C214E">
            <w:pPr>
              <w:pStyle w:val="Heading7"/>
              <w:rPr>
                <w:rFonts w:cs="Arial"/>
                <w:szCs w:val="18"/>
              </w:rPr>
            </w:pPr>
            <w:r w:rsidRPr="003B20B4">
              <w:rPr>
                <w:rFonts w:cs="Arial"/>
                <w:szCs w:val="18"/>
              </w:rPr>
              <w:t>Criteria</w:t>
            </w:r>
          </w:p>
        </w:tc>
        <w:tc>
          <w:tcPr>
            <w:tcW w:w="7020" w:type="dxa"/>
          </w:tcPr>
          <w:p w:rsidR="009C214E" w:rsidRPr="003B20B4" w:rsidRDefault="00891449" w:rsidP="009C214E">
            <w:pPr>
              <w:pStyle w:val="Heading7"/>
              <w:rPr>
                <w:rFonts w:cs="Arial"/>
                <w:szCs w:val="18"/>
              </w:rPr>
            </w:pPr>
            <w:r w:rsidRPr="003B20B4">
              <w:rPr>
                <w:rFonts w:cs="Arial"/>
                <w:szCs w:val="18"/>
              </w:rPr>
              <w:t>Inclusion criteria</w:t>
            </w:r>
          </w:p>
          <w:p w:rsidR="009C214E" w:rsidRPr="003B20B4" w:rsidRDefault="00891449" w:rsidP="009C214E">
            <w:pPr>
              <w:pStyle w:val="Table"/>
              <w:rPr>
                <w:rFonts w:cs="Arial"/>
                <w:szCs w:val="18"/>
              </w:rPr>
            </w:pPr>
            <w:r w:rsidRPr="00340041">
              <w:rPr>
                <w:rFonts w:cs="Arial"/>
                <w:szCs w:val="18"/>
              </w:rPr>
              <w:t xml:space="preserve">18 </w:t>
            </w:r>
            <w:proofErr w:type="spellStart"/>
            <w:r w:rsidRPr="00340041">
              <w:rPr>
                <w:rFonts w:cs="Arial"/>
                <w:szCs w:val="18"/>
              </w:rPr>
              <w:t>yo</w:t>
            </w:r>
            <w:proofErr w:type="spellEnd"/>
            <w:r w:rsidRPr="00340041">
              <w:rPr>
                <w:rFonts w:cs="Arial"/>
                <w:szCs w:val="18"/>
              </w:rPr>
              <w:t xml:space="preserve"> with histologically confirmed locally advanced or metastatic basal cell carcinoma</w:t>
            </w:r>
            <w:r w:rsidRPr="004B0DE1">
              <w:rPr>
                <w:rFonts w:cs="Arial"/>
                <w:szCs w:val="18"/>
              </w:rPr>
              <w:t xml:space="preserve"> documented on pathological analysis that were considered </w:t>
            </w:r>
            <w:proofErr w:type="gramStart"/>
            <w:r w:rsidRPr="004B0DE1">
              <w:rPr>
                <w:rFonts w:cs="Arial"/>
                <w:szCs w:val="18"/>
              </w:rPr>
              <w:t>( by</w:t>
            </w:r>
            <w:proofErr w:type="gramEnd"/>
            <w:r w:rsidRPr="00F96DBF">
              <w:rPr>
                <w:rFonts w:cs="Arial"/>
                <w:szCs w:val="18"/>
              </w:rPr>
              <w:t xml:space="preserve"> the investigator) refractory to standard therapy. </w:t>
            </w:r>
          </w:p>
          <w:p w:rsidR="009C214E" w:rsidRPr="003B20B4" w:rsidRDefault="00891449" w:rsidP="009C214E">
            <w:pPr>
              <w:pStyle w:val="Table"/>
              <w:rPr>
                <w:rFonts w:cs="Arial"/>
                <w:szCs w:val="18"/>
              </w:rPr>
            </w:pPr>
            <w:r w:rsidRPr="003B20B4">
              <w:rPr>
                <w:rFonts w:cs="Arial"/>
                <w:szCs w:val="18"/>
              </w:rPr>
              <w:t xml:space="preserve">ECOG </w:t>
            </w:r>
            <w:r w:rsidRPr="003B20B4">
              <w:rPr>
                <w:rFonts w:cs="Arial"/>
                <w:szCs w:val="18"/>
              </w:rPr>
              <w:sym w:font="Symbol" w:char="F0A3"/>
            </w:r>
            <w:r w:rsidRPr="003B20B4">
              <w:rPr>
                <w:rFonts w:cs="Arial"/>
                <w:szCs w:val="18"/>
              </w:rPr>
              <w:t xml:space="preserve"> 2</w:t>
            </w:r>
          </w:p>
          <w:p w:rsidR="009C214E" w:rsidRPr="003B20B4" w:rsidRDefault="00891449" w:rsidP="009C214E">
            <w:pPr>
              <w:pStyle w:val="Table"/>
              <w:rPr>
                <w:rFonts w:cs="Arial"/>
                <w:szCs w:val="18"/>
              </w:rPr>
            </w:pPr>
            <w:r w:rsidRPr="003B20B4">
              <w:rPr>
                <w:rFonts w:cs="Arial"/>
                <w:szCs w:val="18"/>
              </w:rPr>
              <w:t>Documentation of a negative pregnancy test</w:t>
            </w:r>
          </w:p>
          <w:p w:rsidR="009C214E" w:rsidRPr="003B20B4" w:rsidRDefault="00891449" w:rsidP="009C214E">
            <w:pPr>
              <w:pStyle w:val="Table"/>
              <w:rPr>
                <w:rFonts w:cs="Arial"/>
                <w:szCs w:val="18"/>
              </w:rPr>
            </w:pPr>
            <w:r w:rsidRPr="003B20B4">
              <w:rPr>
                <w:rFonts w:cs="Arial"/>
                <w:szCs w:val="18"/>
              </w:rPr>
              <w:t>&gt; 3 weeks since last therapy or major surgical procedure</w:t>
            </w:r>
          </w:p>
          <w:p w:rsidR="009C214E" w:rsidRPr="003B20B4" w:rsidRDefault="009C214E" w:rsidP="009C214E">
            <w:pPr>
              <w:pStyle w:val="Table"/>
              <w:rPr>
                <w:rFonts w:cs="Arial"/>
                <w:szCs w:val="18"/>
              </w:rPr>
            </w:pPr>
          </w:p>
          <w:p w:rsidR="009C214E" w:rsidRPr="003B20B4" w:rsidRDefault="00891449" w:rsidP="009C214E">
            <w:pPr>
              <w:pStyle w:val="Heading7"/>
              <w:rPr>
                <w:rFonts w:cs="Arial"/>
                <w:szCs w:val="18"/>
              </w:rPr>
            </w:pPr>
            <w:r w:rsidRPr="003B20B4">
              <w:rPr>
                <w:rFonts w:cs="Arial"/>
                <w:szCs w:val="18"/>
              </w:rPr>
              <w:t>Exclusion criteria</w:t>
            </w:r>
          </w:p>
          <w:p w:rsidR="009C214E" w:rsidRPr="00F96DBF" w:rsidRDefault="00891449" w:rsidP="009C214E">
            <w:pPr>
              <w:pStyle w:val="Table"/>
              <w:rPr>
                <w:rFonts w:cs="Arial"/>
                <w:szCs w:val="18"/>
              </w:rPr>
            </w:pPr>
            <w:r w:rsidRPr="00340041">
              <w:rPr>
                <w:rFonts w:cs="Arial"/>
                <w:szCs w:val="18"/>
              </w:rPr>
              <w:t xml:space="preserve">Major organ dysfunction </w:t>
            </w:r>
          </w:p>
          <w:p w:rsidR="009C214E" w:rsidRPr="003B20B4" w:rsidRDefault="00891449" w:rsidP="009C214E">
            <w:pPr>
              <w:pStyle w:val="Table"/>
              <w:rPr>
                <w:rFonts w:cs="Arial"/>
                <w:szCs w:val="18"/>
              </w:rPr>
            </w:pPr>
            <w:r w:rsidRPr="003B20B4">
              <w:rPr>
                <w:rFonts w:cs="Arial"/>
                <w:szCs w:val="18"/>
              </w:rPr>
              <w:t>Long QT or on any medications known to prolong the QT</w:t>
            </w:r>
          </w:p>
          <w:p w:rsidR="009C214E" w:rsidRPr="003B20B4" w:rsidRDefault="00891449" w:rsidP="009C214E">
            <w:pPr>
              <w:pStyle w:val="Table"/>
              <w:rPr>
                <w:rFonts w:cs="Arial"/>
                <w:szCs w:val="18"/>
              </w:rPr>
            </w:pPr>
            <w:r w:rsidRPr="003B20B4">
              <w:rPr>
                <w:rFonts w:cs="Arial"/>
                <w:szCs w:val="18"/>
              </w:rPr>
              <w:t>Active infections requiring IV antibiotics</w:t>
            </w:r>
          </w:p>
          <w:p w:rsidR="009C214E" w:rsidRPr="003B20B4" w:rsidRDefault="00891449" w:rsidP="009C214E">
            <w:pPr>
              <w:pStyle w:val="Table"/>
              <w:rPr>
                <w:rFonts w:cs="Arial"/>
                <w:szCs w:val="18"/>
              </w:rPr>
            </w:pPr>
            <w:r w:rsidRPr="003B20B4">
              <w:rPr>
                <w:rFonts w:cs="Arial"/>
                <w:szCs w:val="18"/>
              </w:rPr>
              <w:t>Pregnancy</w:t>
            </w:r>
          </w:p>
          <w:p w:rsidR="009C214E" w:rsidRPr="003B20B4" w:rsidRDefault="00891449" w:rsidP="009C214E">
            <w:pPr>
              <w:pStyle w:val="Table"/>
              <w:rPr>
                <w:rFonts w:cs="Arial"/>
                <w:szCs w:val="18"/>
              </w:rPr>
            </w:pPr>
            <w:r w:rsidRPr="003B20B4">
              <w:rPr>
                <w:rFonts w:cs="Arial"/>
                <w:szCs w:val="18"/>
              </w:rPr>
              <w:t>Inability to swallow pills</w:t>
            </w:r>
          </w:p>
          <w:p w:rsidR="009C214E" w:rsidRPr="003B20B4" w:rsidDel="00AD3D30" w:rsidRDefault="00891449" w:rsidP="003B20B4">
            <w:pPr>
              <w:pStyle w:val="Table"/>
              <w:rPr>
                <w:rFonts w:cs="Arial"/>
                <w:szCs w:val="18"/>
              </w:rPr>
            </w:pPr>
            <w:r w:rsidRPr="003B20B4">
              <w:rPr>
                <w:rFonts w:cs="Arial"/>
                <w:szCs w:val="18"/>
              </w:rPr>
              <w:t>Other conditions that in the opinion of the study investigator would contraindicate investigational drug use</w:t>
            </w:r>
          </w:p>
          <w:p w:rsidR="009C214E" w:rsidRPr="004B0DE1" w:rsidRDefault="009C214E" w:rsidP="009C214E">
            <w:pPr>
              <w:pStyle w:val="Table"/>
              <w:rPr>
                <w:rFonts w:cs="Arial"/>
                <w:b/>
                <w:szCs w:val="18"/>
              </w:rPr>
            </w:pPr>
          </w:p>
        </w:tc>
      </w:tr>
      <w:tr w:rsidR="009C214E" w:rsidRPr="003303E8">
        <w:trPr>
          <w:trHeight w:val="170"/>
        </w:trPr>
        <w:tc>
          <w:tcPr>
            <w:tcW w:w="1710" w:type="dxa"/>
            <w:tcBorders>
              <w:bottom w:val="single" w:sz="4" w:space="0" w:color="auto"/>
            </w:tcBorders>
          </w:tcPr>
          <w:p w:rsidR="009C214E" w:rsidRPr="003B20B4" w:rsidRDefault="00891449" w:rsidP="009C214E">
            <w:pPr>
              <w:pStyle w:val="Heading7"/>
              <w:rPr>
                <w:rFonts w:cs="Arial"/>
                <w:szCs w:val="18"/>
              </w:rPr>
            </w:pPr>
            <w:r w:rsidRPr="003B20B4">
              <w:rPr>
                <w:rFonts w:cs="Arial"/>
                <w:szCs w:val="18"/>
              </w:rPr>
              <w:t>Results</w:t>
            </w:r>
          </w:p>
        </w:tc>
        <w:tc>
          <w:tcPr>
            <w:tcW w:w="7020" w:type="dxa"/>
            <w:tcBorders>
              <w:bottom w:val="single" w:sz="4" w:space="0" w:color="auto"/>
            </w:tcBorders>
          </w:tcPr>
          <w:p w:rsidR="009C214E" w:rsidRPr="003B20B4" w:rsidRDefault="00891449" w:rsidP="009C214E">
            <w:pPr>
              <w:pStyle w:val="Heading7"/>
              <w:rPr>
                <w:rFonts w:cs="Arial"/>
                <w:szCs w:val="18"/>
              </w:rPr>
            </w:pPr>
            <w:r w:rsidRPr="003B20B4">
              <w:rPr>
                <w:rFonts w:cs="Arial"/>
                <w:szCs w:val="18"/>
              </w:rPr>
              <w:t>Data analysis</w:t>
            </w:r>
          </w:p>
          <w:p w:rsidR="009C214E" w:rsidRPr="003B20B4" w:rsidRDefault="00891449" w:rsidP="003B20B4">
            <w:pPr>
              <w:pStyle w:val="Table"/>
              <w:rPr>
                <w:rFonts w:cs="Arial"/>
                <w:szCs w:val="18"/>
              </w:rPr>
            </w:pPr>
            <w:r w:rsidRPr="003B20B4">
              <w:rPr>
                <w:rFonts w:cs="Arial"/>
                <w:color w:val="auto"/>
                <w:szCs w:val="18"/>
              </w:rPr>
              <w:t>The overall response rate among patients with metastatic disease was 50% (95% CI, 29-71). Of the 15 patients with locally advanced disease, overall response rate was 60% (95% CI, 33-83). Median time of participation was 9.8 months, and median duration of response was 8.8 months. Overall, of the 33 patients with locally advanced or metastatic tumors, 18 had a response. Of the remaining 15 patients, 11 had stable disease for up to 10.8 months and 4 had progressive disease.</w:t>
            </w:r>
          </w:p>
          <w:p w:rsidR="009C214E" w:rsidRPr="003B20B4" w:rsidRDefault="009C214E" w:rsidP="009C214E">
            <w:pPr>
              <w:pStyle w:val="Heading7"/>
              <w:rPr>
                <w:rFonts w:cs="Arial"/>
                <w:szCs w:val="18"/>
              </w:rPr>
            </w:pPr>
          </w:p>
        </w:tc>
      </w:tr>
      <w:tr w:rsidR="009C214E" w:rsidRPr="003303E8">
        <w:trPr>
          <w:trHeight w:val="215"/>
        </w:trPr>
        <w:tc>
          <w:tcPr>
            <w:tcW w:w="1710" w:type="dxa"/>
          </w:tcPr>
          <w:p w:rsidR="009C214E" w:rsidRPr="003B20B4" w:rsidRDefault="00891449" w:rsidP="009C214E">
            <w:pPr>
              <w:pStyle w:val="Heading7"/>
              <w:rPr>
                <w:rFonts w:cs="Arial"/>
                <w:szCs w:val="18"/>
              </w:rPr>
            </w:pPr>
            <w:r w:rsidRPr="003B20B4">
              <w:rPr>
                <w:rFonts w:cs="Arial"/>
                <w:szCs w:val="18"/>
              </w:rPr>
              <w:t>Conclusions</w:t>
            </w:r>
          </w:p>
        </w:tc>
        <w:tc>
          <w:tcPr>
            <w:tcW w:w="7020" w:type="dxa"/>
          </w:tcPr>
          <w:p w:rsidR="009C214E" w:rsidRPr="003B20B4" w:rsidRDefault="00891449" w:rsidP="009C214E">
            <w:pPr>
              <w:pStyle w:val="Table"/>
              <w:rPr>
                <w:rFonts w:cs="Arial"/>
                <w:szCs w:val="18"/>
              </w:rPr>
            </w:pPr>
            <w:r w:rsidRPr="00340041">
              <w:rPr>
                <w:rFonts w:cs="Arial"/>
                <w:szCs w:val="18"/>
              </w:rPr>
              <w:t>Authors conclusions: Confirm the particip</w:t>
            </w:r>
            <w:r w:rsidRPr="004B0DE1">
              <w:rPr>
                <w:rFonts w:cs="Arial"/>
                <w:szCs w:val="18"/>
              </w:rPr>
              <w:t xml:space="preserve">ation of the hedgehog pathway in basal cell carcinoma and suggest that inhibition </w:t>
            </w:r>
            <w:r w:rsidRPr="00F96DBF">
              <w:rPr>
                <w:rFonts w:cs="Arial"/>
                <w:szCs w:val="18"/>
              </w:rPr>
              <w:t xml:space="preserve">of the hedgehog pathway can be treating </w:t>
            </w:r>
            <w:r w:rsidRPr="003B20B4">
              <w:rPr>
                <w:rFonts w:cs="Arial"/>
                <w:szCs w:val="18"/>
              </w:rPr>
              <w:t>inoperable tumors</w:t>
            </w:r>
          </w:p>
        </w:tc>
      </w:tr>
      <w:tr w:rsidR="009C214E" w:rsidRPr="003303E8">
        <w:trPr>
          <w:trHeight w:val="215"/>
        </w:trPr>
        <w:tc>
          <w:tcPr>
            <w:tcW w:w="1710" w:type="dxa"/>
          </w:tcPr>
          <w:p w:rsidR="009C214E" w:rsidRPr="003B20B4" w:rsidRDefault="00891449" w:rsidP="009C214E">
            <w:pPr>
              <w:pStyle w:val="Heading7"/>
              <w:rPr>
                <w:rFonts w:cs="Arial"/>
                <w:szCs w:val="18"/>
              </w:rPr>
            </w:pPr>
            <w:r w:rsidRPr="003B20B4">
              <w:rPr>
                <w:rFonts w:cs="Arial"/>
                <w:szCs w:val="18"/>
              </w:rPr>
              <w:t>Critique</w:t>
            </w:r>
          </w:p>
        </w:tc>
        <w:tc>
          <w:tcPr>
            <w:tcW w:w="7020" w:type="dxa"/>
          </w:tcPr>
          <w:p w:rsidR="009C214E" w:rsidRPr="003B20B4" w:rsidRDefault="00891449" w:rsidP="009C214E">
            <w:pPr>
              <w:pStyle w:val="Heading7"/>
              <w:rPr>
                <w:rFonts w:cs="Arial"/>
                <w:b w:val="0"/>
                <w:szCs w:val="18"/>
              </w:rPr>
            </w:pPr>
            <w:r w:rsidRPr="003B20B4">
              <w:rPr>
                <w:rFonts w:cs="Arial"/>
                <w:b w:val="0"/>
                <w:szCs w:val="18"/>
              </w:rPr>
              <w:t>Strengths:</w:t>
            </w:r>
            <w:r w:rsidR="003303E8" w:rsidRPr="003B20B4">
              <w:rPr>
                <w:rFonts w:cs="Arial"/>
                <w:b w:val="0"/>
                <w:szCs w:val="18"/>
              </w:rPr>
              <w:t xml:space="preserve"> Decent</w:t>
            </w:r>
            <w:r w:rsidRPr="003B20B4">
              <w:rPr>
                <w:rFonts w:cs="Arial"/>
                <w:b w:val="0"/>
                <w:szCs w:val="18"/>
              </w:rPr>
              <w:t xml:space="preserve"> external validity</w:t>
            </w:r>
            <w:r w:rsidR="003303E8" w:rsidRPr="003B20B4">
              <w:rPr>
                <w:rFonts w:cs="Arial"/>
                <w:b w:val="0"/>
                <w:szCs w:val="18"/>
              </w:rPr>
              <w:t>, good results to prompt further research</w:t>
            </w:r>
          </w:p>
          <w:p w:rsidR="009C214E" w:rsidRPr="003B20B4" w:rsidRDefault="00891449" w:rsidP="009C214E">
            <w:pPr>
              <w:pStyle w:val="Heading7"/>
              <w:rPr>
                <w:rFonts w:cs="Arial"/>
                <w:b w:val="0"/>
                <w:szCs w:val="18"/>
              </w:rPr>
            </w:pPr>
            <w:r w:rsidRPr="003B20B4">
              <w:rPr>
                <w:rFonts w:cs="Arial"/>
                <w:b w:val="0"/>
                <w:szCs w:val="18"/>
              </w:rPr>
              <w:t>Limitations: Phase 1 study</w:t>
            </w:r>
            <w:r w:rsidR="003303E8" w:rsidRPr="003B20B4">
              <w:rPr>
                <w:rFonts w:cs="Arial"/>
                <w:b w:val="0"/>
                <w:szCs w:val="18"/>
              </w:rPr>
              <w:t>, no comparator group, small sample size</w:t>
            </w:r>
          </w:p>
          <w:p w:rsidR="009C214E" w:rsidRPr="003B20B4" w:rsidRDefault="009C214E" w:rsidP="009C214E">
            <w:pPr>
              <w:rPr>
                <w:rFonts w:ascii="Arial" w:hAnsi="Arial" w:cs="Arial"/>
                <w:b/>
                <w:color w:val="000000"/>
                <w:sz w:val="18"/>
                <w:szCs w:val="18"/>
              </w:rPr>
            </w:pPr>
          </w:p>
        </w:tc>
      </w:tr>
    </w:tbl>
    <w:p w:rsidR="009C214E" w:rsidRPr="003B20B4" w:rsidRDefault="009C214E">
      <w:pPr>
        <w:rPr>
          <w:rFonts w:ascii="Arial" w:hAnsi="Arial" w:cs="Arial"/>
          <w:sz w:val="18"/>
          <w:szCs w:val="18"/>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020"/>
      </w:tblGrid>
      <w:tr w:rsidR="009C214E" w:rsidRPr="003303E8">
        <w:trPr>
          <w:trHeight w:val="255"/>
        </w:trPr>
        <w:tc>
          <w:tcPr>
            <w:tcW w:w="1710" w:type="dxa"/>
          </w:tcPr>
          <w:p w:rsidR="009C214E" w:rsidRPr="004B0DE1" w:rsidRDefault="00891449" w:rsidP="009C214E">
            <w:pPr>
              <w:pStyle w:val="Heading7"/>
              <w:rPr>
                <w:rFonts w:cs="Arial"/>
                <w:szCs w:val="18"/>
              </w:rPr>
            </w:pPr>
            <w:r w:rsidRPr="00340041">
              <w:rPr>
                <w:rFonts w:cs="Arial"/>
                <w:szCs w:val="18"/>
              </w:rPr>
              <w:lastRenderedPageBreak/>
              <w:t>Citation</w:t>
            </w:r>
          </w:p>
        </w:tc>
        <w:tc>
          <w:tcPr>
            <w:tcW w:w="7020" w:type="dxa"/>
          </w:tcPr>
          <w:p w:rsidR="009C214E" w:rsidRPr="003B20B4" w:rsidRDefault="00891449" w:rsidP="009C214E">
            <w:pPr>
              <w:pStyle w:val="Heading7"/>
              <w:rPr>
                <w:rFonts w:cs="Arial"/>
                <w:color w:val="000000"/>
                <w:szCs w:val="18"/>
              </w:rPr>
            </w:pPr>
            <w:r w:rsidRPr="00F96DBF">
              <w:rPr>
                <w:rFonts w:cs="Arial"/>
                <w:color w:val="000000"/>
                <w:szCs w:val="18"/>
              </w:rPr>
              <w:t>Efficacy and Safety of Vismodegib</w:t>
            </w:r>
            <w:r w:rsidRPr="003B20B4">
              <w:rPr>
                <w:rFonts w:cs="Arial"/>
                <w:color w:val="000000"/>
                <w:szCs w:val="18"/>
              </w:rPr>
              <w:t xml:space="preserve"> in Advanced Basal- Cell Carcinoma NEJM 2012; 366:2171-9</w:t>
            </w:r>
          </w:p>
        </w:tc>
      </w:tr>
      <w:tr w:rsidR="009C214E" w:rsidRPr="003303E8">
        <w:trPr>
          <w:trHeight w:val="195"/>
        </w:trPr>
        <w:tc>
          <w:tcPr>
            <w:tcW w:w="1710" w:type="dxa"/>
          </w:tcPr>
          <w:p w:rsidR="009C214E" w:rsidRPr="004B0DE1" w:rsidRDefault="00891449" w:rsidP="009C214E">
            <w:pPr>
              <w:pStyle w:val="Heading7"/>
              <w:rPr>
                <w:rFonts w:cs="Arial"/>
                <w:szCs w:val="18"/>
              </w:rPr>
            </w:pPr>
            <w:r w:rsidRPr="00340041">
              <w:rPr>
                <w:rFonts w:cs="Arial"/>
                <w:szCs w:val="18"/>
              </w:rPr>
              <w:t>Study Goals</w:t>
            </w:r>
          </w:p>
        </w:tc>
        <w:tc>
          <w:tcPr>
            <w:tcW w:w="7020" w:type="dxa"/>
          </w:tcPr>
          <w:p w:rsidR="009C214E" w:rsidRPr="003B20B4" w:rsidRDefault="00891449" w:rsidP="009C214E">
            <w:pPr>
              <w:pStyle w:val="Heading2"/>
              <w:rPr>
                <w:rFonts w:cs="Arial"/>
                <w:b w:val="0"/>
                <w:color w:val="000000"/>
                <w:sz w:val="18"/>
                <w:szCs w:val="18"/>
              </w:rPr>
            </w:pPr>
            <w:r w:rsidRPr="00F96DBF">
              <w:rPr>
                <w:rFonts w:cs="Arial"/>
                <w:b w:val="0"/>
                <w:color w:val="000000"/>
                <w:sz w:val="18"/>
                <w:szCs w:val="18"/>
              </w:rPr>
              <w:t xml:space="preserve">Primary endpoint was the objective response rate; primary hypotheses were that the response rate would be greater than 20% for patients with locally advanced basal cell carcinoma and </w:t>
            </w:r>
            <w:r w:rsidRPr="003B20B4">
              <w:rPr>
                <w:rFonts w:cs="Arial"/>
                <w:b w:val="0"/>
                <w:color w:val="000000"/>
                <w:sz w:val="18"/>
                <w:szCs w:val="18"/>
              </w:rPr>
              <w:t>greater than 10% for those with metastatic basal cell carcinoma.</w:t>
            </w:r>
          </w:p>
          <w:p w:rsidR="009C214E" w:rsidRPr="003B20B4" w:rsidRDefault="00891449" w:rsidP="009C214E">
            <w:pPr>
              <w:rPr>
                <w:rFonts w:ascii="Arial" w:hAnsi="Arial" w:cs="Arial"/>
                <w:b/>
                <w:sz w:val="18"/>
                <w:szCs w:val="18"/>
              </w:rPr>
            </w:pPr>
            <w:r w:rsidRPr="003B20B4">
              <w:rPr>
                <w:rFonts w:ascii="Arial" w:hAnsi="Arial" w:cs="Arial"/>
                <w:sz w:val="18"/>
                <w:szCs w:val="18"/>
              </w:rPr>
              <w:t xml:space="preserve">The secondary endpoint was duration of response. </w:t>
            </w:r>
          </w:p>
        </w:tc>
      </w:tr>
      <w:tr w:rsidR="009C214E" w:rsidRPr="003303E8">
        <w:trPr>
          <w:trHeight w:val="917"/>
        </w:trPr>
        <w:tc>
          <w:tcPr>
            <w:tcW w:w="1710" w:type="dxa"/>
          </w:tcPr>
          <w:p w:rsidR="009C214E" w:rsidRPr="004B0DE1" w:rsidRDefault="00891449" w:rsidP="009C214E">
            <w:pPr>
              <w:pStyle w:val="Heading7"/>
              <w:rPr>
                <w:rFonts w:cs="Arial"/>
                <w:szCs w:val="18"/>
              </w:rPr>
            </w:pPr>
            <w:r w:rsidRPr="00340041">
              <w:rPr>
                <w:rFonts w:cs="Arial"/>
                <w:szCs w:val="18"/>
              </w:rPr>
              <w:t>Methods</w:t>
            </w:r>
          </w:p>
        </w:tc>
        <w:tc>
          <w:tcPr>
            <w:tcW w:w="7020" w:type="dxa"/>
          </w:tcPr>
          <w:p w:rsidR="009C214E" w:rsidRPr="003B20B4" w:rsidRDefault="00891449" w:rsidP="009C214E">
            <w:pPr>
              <w:pStyle w:val="Heading7"/>
              <w:rPr>
                <w:rFonts w:cs="Arial"/>
                <w:b w:val="0"/>
                <w:szCs w:val="18"/>
              </w:rPr>
            </w:pPr>
            <w:r w:rsidRPr="00F96DBF">
              <w:rPr>
                <w:rFonts w:cs="Arial"/>
                <w:szCs w:val="18"/>
              </w:rPr>
              <w:t>Study Design</w:t>
            </w:r>
            <w:r w:rsidRPr="003B20B4">
              <w:rPr>
                <w:rFonts w:cs="Arial"/>
                <w:b w:val="0"/>
                <w:szCs w:val="18"/>
              </w:rPr>
              <w:t xml:space="preserve">:  Phase II multicenter, international, two cohort, non- randomized study of patients with metastatic BCC and locally advanced BCC with inoperable disease or for whom surgery was inappropriate.  All patients were treated with vismodegib 150mg once daily until disease progression or unacceptable toxicity. </w:t>
            </w:r>
          </w:p>
          <w:p w:rsidR="009C214E" w:rsidRPr="003B20B4" w:rsidRDefault="00891449" w:rsidP="009C214E">
            <w:pPr>
              <w:pStyle w:val="Heading7"/>
              <w:rPr>
                <w:rFonts w:cs="Arial"/>
                <w:b w:val="0"/>
                <w:szCs w:val="18"/>
              </w:rPr>
            </w:pPr>
            <w:r w:rsidRPr="003B20B4">
              <w:rPr>
                <w:rFonts w:cs="Arial"/>
                <w:b w:val="0"/>
                <w:szCs w:val="18"/>
              </w:rPr>
              <w:t xml:space="preserve">The primary endpoint was an objective response rate (ORR) defined as those achieving a partial and complete response based on the RECIST criteria.  </w:t>
            </w:r>
          </w:p>
          <w:p w:rsidR="009C214E" w:rsidRPr="003B20B4" w:rsidRDefault="00891449" w:rsidP="009C214E">
            <w:pPr>
              <w:pStyle w:val="Heading7"/>
              <w:rPr>
                <w:rFonts w:cs="Arial"/>
                <w:szCs w:val="18"/>
              </w:rPr>
            </w:pPr>
            <w:r w:rsidRPr="003B20B4">
              <w:rPr>
                <w:rFonts w:cs="Arial"/>
                <w:szCs w:val="18"/>
              </w:rPr>
              <w:t>Data Analysis:</w:t>
            </w:r>
          </w:p>
          <w:p w:rsidR="009C214E" w:rsidRPr="003B20B4" w:rsidRDefault="00891449" w:rsidP="009C214E">
            <w:pPr>
              <w:pStyle w:val="Table"/>
              <w:rPr>
                <w:rFonts w:cs="Arial"/>
                <w:b/>
                <w:szCs w:val="18"/>
              </w:rPr>
            </w:pPr>
            <w:r w:rsidRPr="003B20B4">
              <w:rPr>
                <w:rFonts w:cs="Arial"/>
                <w:szCs w:val="18"/>
              </w:rPr>
              <w:t>Exact binomial one-sided tests were performed to assess whether the response rate was &gt; 10% among patients with metastatic disease and &gt; 20% in patients with locally advanced disease</w:t>
            </w:r>
          </w:p>
        </w:tc>
      </w:tr>
      <w:tr w:rsidR="009C214E" w:rsidRPr="003303E8">
        <w:trPr>
          <w:trHeight w:val="197"/>
        </w:trPr>
        <w:tc>
          <w:tcPr>
            <w:tcW w:w="1710" w:type="dxa"/>
          </w:tcPr>
          <w:p w:rsidR="009C214E" w:rsidRPr="004B0DE1" w:rsidRDefault="00891449" w:rsidP="009C214E">
            <w:pPr>
              <w:pStyle w:val="Heading7"/>
              <w:rPr>
                <w:rFonts w:cs="Arial"/>
                <w:szCs w:val="18"/>
              </w:rPr>
            </w:pPr>
            <w:r w:rsidRPr="00340041">
              <w:rPr>
                <w:rFonts w:cs="Arial"/>
                <w:szCs w:val="18"/>
              </w:rPr>
              <w:t>Criteria</w:t>
            </w:r>
          </w:p>
        </w:tc>
        <w:tc>
          <w:tcPr>
            <w:tcW w:w="7020" w:type="dxa"/>
          </w:tcPr>
          <w:p w:rsidR="009C214E" w:rsidRPr="003B20B4" w:rsidRDefault="00891449" w:rsidP="009C214E">
            <w:pPr>
              <w:pStyle w:val="Heading7"/>
              <w:rPr>
                <w:rFonts w:cs="Arial"/>
                <w:szCs w:val="18"/>
              </w:rPr>
            </w:pPr>
            <w:r w:rsidRPr="00F96DBF">
              <w:rPr>
                <w:rFonts w:cs="Arial"/>
                <w:szCs w:val="18"/>
              </w:rPr>
              <w:t>Inclusion criteria</w:t>
            </w:r>
          </w:p>
          <w:p w:rsidR="009C214E" w:rsidRPr="003B20B4" w:rsidRDefault="00891449" w:rsidP="009C214E">
            <w:pPr>
              <w:pStyle w:val="Table"/>
              <w:rPr>
                <w:rFonts w:cs="Arial"/>
                <w:szCs w:val="18"/>
              </w:rPr>
            </w:pPr>
            <w:r w:rsidRPr="003B20B4">
              <w:rPr>
                <w:rFonts w:cs="Arial"/>
                <w:szCs w:val="18"/>
              </w:rPr>
              <w:t xml:space="preserve">18 </w:t>
            </w:r>
            <w:proofErr w:type="spellStart"/>
            <w:r w:rsidRPr="003B20B4">
              <w:rPr>
                <w:rFonts w:cs="Arial"/>
                <w:szCs w:val="18"/>
              </w:rPr>
              <w:t>yo</w:t>
            </w:r>
            <w:proofErr w:type="spellEnd"/>
            <w:r w:rsidRPr="003B20B4">
              <w:rPr>
                <w:rFonts w:cs="Arial"/>
                <w:szCs w:val="18"/>
              </w:rPr>
              <w:t xml:space="preserve"> old, ECOG </w:t>
            </w:r>
            <w:r w:rsidRPr="003B20B4">
              <w:rPr>
                <w:rFonts w:cs="Arial"/>
                <w:szCs w:val="18"/>
              </w:rPr>
              <w:sym w:font="Symbol" w:char="F0A3"/>
            </w:r>
            <w:r w:rsidRPr="003B20B4">
              <w:rPr>
                <w:rFonts w:cs="Arial"/>
                <w:szCs w:val="18"/>
              </w:rPr>
              <w:t>2</w:t>
            </w:r>
          </w:p>
          <w:p w:rsidR="009C214E" w:rsidRPr="003B20B4" w:rsidRDefault="00891449" w:rsidP="009C214E">
            <w:pPr>
              <w:pStyle w:val="Table"/>
              <w:rPr>
                <w:rFonts w:cs="Arial"/>
                <w:szCs w:val="18"/>
              </w:rPr>
            </w:pPr>
            <w:r w:rsidRPr="003B20B4">
              <w:rPr>
                <w:rFonts w:cs="Arial"/>
                <w:szCs w:val="18"/>
              </w:rPr>
              <w:t>Patients with metastatic disease needed measurable disease according to the RECIST criteria assessed with CT or MRI</w:t>
            </w:r>
          </w:p>
          <w:p w:rsidR="009C214E" w:rsidRPr="003B20B4" w:rsidRDefault="00891449" w:rsidP="009C214E">
            <w:pPr>
              <w:pStyle w:val="Table"/>
              <w:rPr>
                <w:rFonts w:cs="Arial"/>
                <w:szCs w:val="18"/>
              </w:rPr>
            </w:pPr>
            <w:r w:rsidRPr="003B20B4">
              <w:rPr>
                <w:rFonts w:cs="Arial"/>
                <w:szCs w:val="18"/>
              </w:rPr>
              <w:t xml:space="preserve">Patients with locally advanced disease had at least 1 lesion that was 10 mm or more in the longest diameter and considered inoperable or where surgery was inappropriate in the opinion of a </w:t>
            </w:r>
            <w:proofErr w:type="spellStart"/>
            <w:r w:rsidRPr="003B20B4">
              <w:rPr>
                <w:rFonts w:cs="Arial"/>
                <w:szCs w:val="18"/>
              </w:rPr>
              <w:t>Mohs</w:t>
            </w:r>
            <w:proofErr w:type="spellEnd"/>
            <w:r w:rsidRPr="003B20B4">
              <w:rPr>
                <w:rFonts w:cs="Arial"/>
                <w:szCs w:val="18"/>
              </w:rPr>
              <w:t xml:space="preserve"> specialist</w:t>
            </w:r>
          </w:p>
          <w:p w:rsidR="009C214E" w:rsidRPr="003B20B4" w:rsidRDefault="00891449" w:rsidP="003B20B4">
            <w:pPr>
              <w:pStyle w:val="Table"/>
              <w:rPr>
                <w:rFonts w:cs="Arial"/>
                <w:szCs w:val="18"/>
              </w:rPr>
            </w:pPr>
            <w:r w:rsidRPr="003B20B4">
              <w:rPr>
                <w:rFonts w:cs="Arial"/>
                <w:szCs w:val="18"/>
              </w:rPr>
              <w:t xml:space="preserve">Patients with </w:t>
            </w:r>
            <w:proofErr w:type="spellStart"/>
            <w:r w:rsidRPr="003B20B4">
              <w:rPr>
                <w:rFonts w:cs="Arial"/>
                <w:szCs w:val="18"/>
              </w:rPr>
              <w:t>Gorlin</w:t>
            </w:r>
            <w:proofErr w:type="spellEnd"/>
            <w:r w:rsidRPr="003B20B4">
              <w:rPr>
                <w:rFonts w:cs="Arial"/>
                <w:szCs w:val="18"/>
              </w:rPr>
              <w:t xml:space="preserve"> syndrome (basal cell nevus) could enroll if all other criteria were met</w:t>
            </w:r>
          </w:p>
          <w:p w:rsidR="009C214E" w:rsidRPr="003B20B4" w:rsidRDefault="00891449" w:rsidP="009C214E">
            <w:pPr>
              <w:pStyle w:val="Heading7"/>
              <w:rPr>
                <w:rFonts w:cs="Arial"/>
                <w:szCs w:val="18"/>
              </w:rPr>
            </w:pPr>
            <w:r w:rsidRPr="003B20B4">
              <w:rPr>
                <w:rFonts w:cs="Arial"/>
                <w:szCs w:val="18"/>
              </w:rPr>
              <w:t>Exclusion criteria</w:t>
            </w:r>
          </w:p>
          <w:p w:rsidR="009C214E" w:rsidRPr="003B20B4" w:rsidRDefault="00891449" w:rsidP="003B20B4">
            <w:pPr>
              <w:pStyle w:val="Table"/>
              <w:rPr>
                <w:rFonts w:cs="Arial"/>
                <w:szCs w:val="18"/>
              </w:rPr>
            </w:pPr>
            <w:r w:rsidRPr="003B20B4">
              <w:rPr>
                <w:rFonts w:cs="Arial"/>
                <w:szCs w:val="18"/>
              </w:rPr>
              <w:t xml:space="preserve">Major organ dysfunction, pregnancy, lactation, participation in an investigational study in the previous 4 weeks, life expectancy less than 12 weeks, uncontrolled medical illnesses, other conditions that would contraindicate the use of an investigational drug, and inability to swallow capsules. </w:t>
            </w:r>
          </w:p>
          <w:p w:rsidR="009C214E" w:rsidRPr="003B20B4" w:rsidRDefault="009C214E" w:rsidP="009C214E">
            <w:pPr>
              <w:pStyle w:val="Table"/>
              <w:rPr>
                <w:rFonts w:cs="Arial"/>
                <w:b/>
                <w:szCs w:val="18"/>
              </w:rPr>
            </w:pPr>
          </w:p>
        </w:tc>
      </w:tr>
      <w:tr w:rsidR="009C214E" w:rsidRPr="003303E8">
        <w:trPr>
          <w:trHeight w:val="170"/>
        </w:trPr>
        <w:tc>
          <w:tcPr>
            <w:tcW w:w="1710" w:type="dxa"/>
            <w:tcBorders>
              <w:bottom w:val="single" w:sz="4" w:space="0" w:color="auto"/>
            </w:tcBorders>
          </w:tcPr>
          <w:p w:rsidR="009C214E" w:rsidRPr="003B20B4" w:rsidRDefault="00891449" w:rsidP="009C214E">
            <w:pPr>
              <w:pStyle w:val="Heading7"/>
              <w:rPr>
                <w:rFonts w:cs="Arial"/>
                <w:szCs w:val="18"/>
              </w:rPr>
            </w:pPr>
            <w:r w:rsidRPr="003B20B4">
              <w:rPr>
                <w:rFonts w:cs="Arial"/>
                <w:szCs w:val="18"/>
              </w:rPr>
              <w:t>Results</w:t>
            </w:r>
          </w:p>
        </w:tc>
        <w:tc>
          <w:tcPr>
            <w:tcW w:w="7020" w:type="dxa"/>
            <w:tcBorders>
              <w:bottom w:val="single" w:sz="4" w:space="0" w:color="auto"/>
            </w:tcBorders>
          </w:tcPr>
          <w:p w:rsidR="009C214E" w:rsidRPr="003B20B4" w:rsidRDefault="00891449" w:rsidP="009C214E">
            <w:pPr>
              <w:rPr>
                <w:rFonts w:ascii="Arial" w:hAnsi="Arial" w:cs="Arial"/>
                <w:sz w:val="18"/>
                <w:szCs w:val="18"/>
              </w:rPr>
            </w:pPr>
            <w:r w:rsidRPr="003B20B4">
              <w:rPr>
                <w:rFonts w:ascii="Arial" w:hAnsi="Arial" w:cs="Arial"/>
                <w:color w:val="000000"/>
                <w:sz w:val="18"/>
                <w:szCs w:val="18"/>
              </w:rPr>
              <w:t>Thirty-three patients with metastatic BCC and 63 patients with locally advanced BCC were treated with vismodegib 150mg once daily. The primary endpoint was an objective response rate (ORR) defined as those achieving a partial and complete response. Thirty percent of the patients with metastatic BCC responded (95% CI, 16 - 48; p=0.001) and 43% of the patients with locally advanced BCC responded (95% CI, 31-56; P&lt;0.001). Thirteen patients (21%) achieved a complete response (CR), defined as absence of residual BCC on assessment of biopsy specimen.  The median duration of response was 7.6 months in both groups and the median progression free survival was 9.5 months. And seven deaths due to adverse events were noted.</w:t>
            </w:r>
          </w:p>
        </w:tc>
      </w:tr>
      <w:tr w:rsidR="009C214E" w:rsidRPr="003303E8">
        <w:trPr>
          <w:trHeight w:val="215"/>
        </w:trPr>
        <w:tc>
          <w:tcPr>
            <w:tcW w:w="1710" w:type="dxa"/>
          </w:tcPr>
          <w:p w:rsidR="009C214E" w:rsidRPr="004B0DE1" w:rsidRDefault="00891449" w:rsidP="009C214E">
            <w:pPr>
              <w:pStyle w:val="Heading7"/>
              <w:rPr>
                <w:rFonts w:cs="Arial"/>
                <w:szCs w:val="18"/>
              </w:rPr>
            </w:pPr>
            <w:r w:rsidRPr="00340041">
              <w:rPr>
                <w:rFonts w:cs="Arial"/>
                <w:szCs w:val="18"/>
              </w:rPr>
              <w:t>Conclusions</w:t>
            </w:r>
          </w:p>
        </w:tc>
        <w:tc>
          <w:tcPr>
            <w:tcW w:w="7020" w:type="dxa"/>
          </w:tcPr>
          <w:p w:rsidR="009C214E" w:rsidRPr="003B20B4" w:rsidRDefault="00891449" w:rsidP="009C214E">
            <w:pPr>
              <w:pStyle w:val="Table"/>
              <w:rPr>
                <w:rFonts w:cs="Arial"/>
                <w:szCs w:val="18"/>
              </w:rPr>
            </w:pPr>
            <w:r w:rsidRPr="00F96DBF">
              <w:rPr>
                <w:rFonts w:cs="Arial"/>
                <w:szCs w:val="18"/>
              </w:rPr>
              <w:t>Authors conclusions: data suggests that vismodegib is a new treatment option for patients with advanced basal cell carcinoma</w:t>
            </w:r>
          </w:p>
        </w:tc>
      </w:tr>
      <w:tr w:rsidR="009C214E" w:rsidRPr="003303E8">
        <w:trPr>
          <w:trHeight w:val="215"/>
        </w:trPr>
        <w:tc>
          <w:tcPr>
            <w:tcW w:w="1710" w:type="dxa"/>
          </w:tcPr>
          <w:p w:rsidR="009C214E" w:rsidRPr="004B0DE1" w:rsidRDefault="00891449" w:rsidP="009C214E">
            <w:pPr>
              <w:pStyle w:val="Heading7"/>
              <w:rPr>
                <w:rFonts w:cs="Arial"/>
                <w:szCs w:val="18"/>
              </w:rPr>
            </w:pPr>
            <w:r w:rsidRPr="00340041">
              <w:rPr>
                <w:rFonts w:cs="Arial"/>
                <w:szCs w:val="18"/>
              </w:rPr>
              <w:t>Critique</w:t>
            </w:r>
          </w:p>
        </w:tc>
        <w:tc>
          <w:tcPr>
            <w:tcW w:w="7020" w:type="dxa"/>
          </w:tcPr>
          <w:p w:rsidR="00B03061" w:rsidRDefault="00B03061" w:rsidP="003B20B4">
            <w:pPr>
              <w:pStyle w:val="Table"/>
              <w:rPr>
                <w:rFonts w:cs="Arial"/>
                <w:szCs w:val="18"/>
              </w:rPr>
            </w:pPr>
            <w:r>
              <w:rPr>
                <w:rFonts w:cs="Arial"/>
                <w:szCs w:val="18"/>
              </w:rPr>
              <w:t>Good external validity</w:t>
            </w:r>
          </w:p>
          <w:p w:rsidR="009C214E" w:rsidRPr="003B20B4" w:rsidRDefault="00891449" w:rsidP="003B20B4">
            <w:pPr>
              <w:pStyle w:val="Table"/>
              <w:rPr>
                <w:szCs w:val="18"/>
              </w:rPr>
            </w:pPr>
            <w:r w:rsidRPr="003B20B4">
              <w:rPr>
                <w:rFonts w:cs="Arial"/>
                <w:szCs w:val="18"/>
              </w:rPr>
              <w:t>No comparator group, small study population, no overall survival, high incidence of side effects, high incidence of patient discontinuation</w:t>
            </w:r>
          </w:p>
        </w:tc>
      </w:tr>
    </w:tbl>
    <w:p w:rsidR="009C214E" w:rsidRDefault="009C214E">
      <w:pPr>
        <w:rPr>
          <w:sz w:val="20"/>
        </w:rPr>
      </w:pPr>
    </w:p>
    <w:sectPr w:rsidR="009C214E" w:rsidSect="009C214E">
      <w:headerReference w:type="even" r:id="rId23"/>
      <w:headerReference w:type="default" r:id="rId24"/>
      <w:footerReference w:type="default" r:id="rId25"/>
      <w:headerReference w:type="first" r:id="rId26"/>
      <w:pgSz w:w="12240" w:h="15840" w:code="1"/>
      <w:pgMar w:top="1440" w:right="1800" w:bottom="1440" w:left="1800" w:header="720" w:footer="6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A6" w:rsidRDefault="00BD50A6">
      <w:r>
        <w:separator/>
      </w:r>
    </w:p>
  </w:endnote>
  <w:endnote w:type="continuationSeparator" w:id="0">
    <w:p w:rsidR="00BD50A6" w:rsidRDefault="00B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tblBorders>
      <w:tblLook w:val="00E0" w:firstRow="1" w:lastRow="1" w:firstColumn="1" w:lastColumn="0" w:noHBand="0" w:noVBand="0"/>
    </w:tblPr>
    <w:tblGrid>
      <w:gridCol w:w="6949"/>
      <w:gridCol w:w="269"/>
      <w:gridCol w:w="1638"/>
    </w:tblGrid>
    <w:tr w:rsidR="00BD50A6">
      <w:tc>
        <w:tcPr>
          <w:tcW w:w="3923" w:type="pct"/>
        </w:tcPr>
        <w:p w:rsidR="00BD50A6" w:rsidRDefault="00BD50A6">
          <w:pPr>
            <w:pStyle w:val="Footer"/>
          </w:pPr>
        </w:p>
      </w:tc>
      <w:tc>
        <w:tcPr>
          <w:tcW w:w="152" w:type="pct"/>
        </w:tcPr>
        <w:p w:rsidR="00BD50A6" w:rsidRDefault="00BD50A6">
          <w:pPr>
            <w:pStyle w:val="Footer"/>
          </w:pPr>
        </w:p>
      </w:tc>
      <w:tc>
        <w:tcPr>
          <w:tcW w:w="925" w:type="pct"/>
        </w:tcPr>
        <w:p w:rsidR="00BD50A6" w:rsidRDefault="00BD50A6" w:rsidP="003379B0">
          <w:pPr>
            <w:pStyle w:val="Footer"/>
            <w:jc w:val="right"/>
          </w:pPr>
        </w:p>
      </w:tc>
    </w:tr>
    <w:tr w:rsidR="00BD50A6">
      <w:tc>
        <w:tcPr>
          <w:tcW w:w="3923" w:type="pct"/>
        </w:tcPr>
        <w:p w:rsidR="00BD50A6" w:rsidRDefault="00BD50A6" w:rsidP="009C214E">
          <w:pPr>
            <w:pStyle w:val="Footer"/>
            <w:rPr>
              <w:i/>
              <w:iCs/>
            </w:rPr>
          </w:pPr>
          <w:r>
            <w:rPr>
              <w:i/>
              <w:iCs/>
            </w:rPr>
            <w:t xml:space="preserve">Updated version may be found at </w:t>
          </w:r>
          <w:hyperlink r:id="rId1" w:history="1">
            <w:r w:rsidRPr="00C449BC">
              <w:rPr>
                <w:rStyle w:val="Hyperlink"/>
                <w:i/>
                <w:iCs/>
              </w:rPr>
              <w:t>www.pbm.va.gov</w:t>
            </w:r>
          </w:hyperlink>
          <w:r>
            <w:rPr>
              <w:i/>
              <w:iCs/>
            </w:rPr>
            <w:t xml:space="preserve"> or vaww.pbm.va.gov</w:t>
          </w:r>
        </w:p>
      </w:tc>
      <w:tc>
        <w:tcPr>
          <w:tcW w:w="152" w:type="pct"/>
        </w:tcPr>
        <w:p w:rsidR="00BD50A6" w:rsidRDefault="00BD50A6">
          <w:pPr>
            <w:pStyle w:val="Footer"/>
          </w:pPr>
        </w:p>
      </w:tc>
      <w:tc>
        <w:tcPr>
          <w:tcW w:w="925" w:type="pct"/>
        </w:tcPr>
        <w:p w:rsidR="00BD50A6" w:rsidRDefault="00BD50A6">
          <w:pPr>
            <w:pStyle w:val="Footer"/>
            <w:jc w:val="right"/>
          </w:pPr>
          <w:r>
            <w:rPr>
              <w:rStyle w:val="PageNumber"/>
            </w:rPr>
            <w:fldChar w:fldCharType="begin"/>
          </w:r>
          <w:r>
            <w:rPr>
              <w:rStyle w:val="PageNumber"/>
            </w:rPr>
            <w:instrText xml:space="preserve"> PAGE </w:instrText>
          </w:r>
          <w:r>
            <w:rPr>
              <w:rStyle w:val="PageNumber"/>
            </w:rPr>
            <w:fldChar w:fldCharType="separate"/>
          </w:r>
          <w:r w:rsidR="00F503CF">
            <w:rPr>
              <w:rStyle w:val="PageNumber"/>
              <w:noProof/>
            </w:rPr>
            <w:t>1</w:t>
          </w:r>
          <w:r>
            <w:rPr>
              <w:rStyle w:val="PageNumber"/>
            </w:rPr>
            <w:fldChar w:fldCharType="end"/>
          </w:r>
        </w:p>
      </w:tc>
    </w:tr>
  </w:tbl>
  <w:p w:rsidR="00BD50A6" w:rsidRDefault="00BD50A6" w:rsidP="00337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tblBorders>
      <w:tblLook w:val="00E0" w:firstRow="1" w:lastRow="1" w:firstColumn="1" w:lastColumn="0" w:noHBand="0" w:noVBand="0"/>
    </w:tblPr>
    <w:tblGrid>
      <w:gridCol w:w="6949"/>
      <w:gridCol w:w="269"/>
      <w:gridCol w:w="1638"/>
    </w:tblGrid>
    <w:tr w:rsidR="00BD50A6">
      <w:tc>
        <w:tcPr>
          <w:tcW w:w="3923" w:type="pct"/>
        </w:tcPr>
        <w:p w:rsidR="00BD50A6" w:rsidRDefault="00BD50A6">
          <w:pPr>
            <w:pStyle w:val="Footer"/>
          </w:pPr>
        </w:p>
      </w:tc>
      <w:tc>
        <w:tcPr>
          <w:tcW w:w="152" w:type="pct"/>
        </w:tcPr>
        <w:p w:rsidR="00BD50A6" w:rsidRDefault="00BD50A6">
          <w:pPr>
            <w:pStyle w:val="Footer"/>
          </w:pPr>
        </w:p>
      </w:tc>
      <w:tc>
        <w:tcPr>
          <w:tcW w:w="925" w:type="pct"/>
        </w:tcPr>
        <w:p w:rsidR="00BD50A6" w:rsidRDefault="00BD50A6">
          <w:pPr>
            <w:pStyle w:val="Footer"/>
            <w:jc w:val="right"/>
          </w:pPr>
        </w:p>
      </w:tc>
    </w:tr>
    <w:tr w:rsidR="00BD50A6">
      <w:tc>
        <w:tcPr>
          <w:tcW w:w="3923" w:type="pct"/>
        </w:tcPr>
        <w:p w:rsidR="00BD50A6" w:rsidRDefault="00BD50A6" w:rsidP="009C214E">
          <w:pPr>
            <w:pStyle w:val="Footer"/>
            <w:rPr>
              <w:i/>
              <w:iCs/>
            </w:rPr>
          </w:pPr>
          <w:r>
            <w:rPr>
              <w:i/>
              <w:iCs/>
            </w:rPr>
            <w:t xml:space="preserve">Updated version may be found at </w:t>
          </w:r>
          <w:hyperlink r:id="rId1" w:history="1">
            <w:r w:rsidRPr="00C449BC">
              <w:rPr>
                <w:rStyle w:val="Hyperlink"/>
                <w:i/>
                <w:iCs/>
              </w:rPr>
              <w:t>www.pbm.va.gov</w:t>
            </w:r>
          </w:hyperlink>
          <w:r>
            <w:rPr>
              <w:i/>
              <w:iCs/>
            </w:rPr>
            <w:t xml:space="preserve"> or vaww.pbm.va.gov</w:t>
          </w:r>
        </w:p>
      </w:tc>
      <w:tc>
        <w:tcPr>
          <w:tcW w:w="152" w:type="pct"/>
        </w:tcPr>
        <w:p w:rsidR="00BD50A6" w:rsidRDefault="00BD50A6">
          <w:pPr>
            <w:pStyle w:val="Footer"/>
          </w:pPr>
        </w:p>
      </w:tc>
      <w:tc>
        <w:tcPr>
          <w:tcW w:w="925" w:type="pct"/>
        </w:tcPr>
        <w:p w:rsidR="00BD50A6" w:rsidRDefault="00BD50A6">
          <w:pPr>
            <w:pStyle w:val="Footer"/>
            <w:jc w:val="right"/>
          </w:pPr>
          <w:r>
            <w:rPr>
              <w:rStyle w:val="PageNumber"/>
            </w:rPr>
            <w:fldChar w:fldCharType="begin"/>
          </w:r>
          <w:r>
            <w:rPr>
              <w:rStyle w:val="PageNumber"/>
            </w:rPr>
            <w:instrText xml:space="preserve"> PAGE </w:instrText>
          </w:r>
          <w:r>
            <w:rPr>
              <w:rStyle w:val="PageNumber"/>
            </w:rPr>
            <w:fldChar w:fldCharType="separate"/>
          </w:r>
          <w:r w:rsidR="00F503CF">
            <w:rPr>
              <w:rStyle w:val="PageNumber"/>
              <w:noProof/>
            </w:rPr>
            <w:t>13</w:t>
          </w:r>
          <w:r>
            <w:rPr>
              <w:rStyle w:val="PageNumber"/>
            </w:rPr>
            <w:fldChar w:fldCharType="end"/>
          </w:r>
        </w:p>
      </w:tc>
    </w:tr>
  </w:tbl>
  <w:p w:rsidR="00BD50A6" w:rsidRDefault="00BD50A6" w:rsidP="002C3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tblBorders>
      <w:tblLook w:val="00E0" w:firstRow="1" w:lastRow="1" w:firstColumn="1" w:lastColumn="0" w:noHBand="0" w:noVBand="0"/>
    </w:tblPr>
    <w:tblGrid>
      <w:gridCol w:w="6949"/>
      <w:gridCol w:w="269"/>
      <w:gridCol w:w="1638"/>
    </w:tblGrid>
    <w:tr w:rsidR="00BD50A6">
      <w:tc>
        <w:tcPr>
          <w:tcW w:w="3923" w:type="pct"/>
        </w:tcPr>
        <w:p w:rsidR="00BD50A6" w:rsidRDefault="00BD50A6">
          <w:pPr>
            <w:pStyle w:val="Footer"/>
          </w:pPr>
        </w:p>
      </w:tc>
      <w:tc>
        <w:tcPr>
          <w:tcW w:w="152" w:type="pct"/>
        </w:tcPr>
        <w:p w:rsidR="00BD50A6" w:rsidRDefault="00BD50A6">
          <w:pPr>
            <w:pStyle w:val="Footer"/>
          </w:pPr>
        </w:p>
      </w:tc>
      <w:tc>
        <w:tcPr>
          <w:tcW w:w="925" w:type="pct"/>
        </w:tcPr>
        <w:p w:rsidR="00BD50A6" w:rsidRDefault="00BD50A6">
          <w:pPr>
            <w:pStyle w:val="Footer"/>
            <w:jc w:val="right"/>
          </w:pPr>
        </w:p>
      </w:tc>
    </w:tr>
    <w:tr w:rsidR="00BD50A6">
      <w:tc>
        <w:tcPr>
          <w:tcW w:w="3923" w:type="pct"/>
        </w:tcPr>
        <w:p w:rsidR="00BD50A6" w:rsidRDefault="00BD50A6" w:rsidP="009C214E">
          <w:pPr>
            <w:pStyle w:val="Footer"/>
            <w:rPr>
              <w:i/>
              <w:iCs/>
            </w:rPr>
          </w:pPr>
          <w:r>
            <w:rPr>
              <w:i/>
              <w:iCs/>
            </w:rPr>
            <w:t xml:space="preserve">Updated version may be found at </w:t>
          </w:r>
          <w:hyperlink r:id="rId1" w:history="1">
            <w:r w:rsidRPr="00DF64B7">
              <w:rPr>
                <w:rStyle w:val="Hyperlink"/>
                <w:i/>
                <w:iCs/>
              </w:rPr>
              <w:t>www.pbm.va.gov</w:t>
            </w:r>
          </w:hyperlink>
          <w:r>
            <w:rPr>
              <w:i/>
              <w:iCs/>
            </w:rPr>
            <w:t xml:space="preserve"> or vaww.pbm.va.gov</w:t>
          </w:r>
        </w:p>
      </w:tc>
      <w:tc>
        <w:tcPr>
          <w:tcW w:w="152" w:type="pct"/>
        </w:tcPr>
        <w:p w:rsidR="00BD50A6" w:rsidRDefault="00BD50A6">
          <w:pPr>
            <w:pStyle w:val="Footer"/>
          </w:pPr>
        </w:p>
      </w:tc>
      <w:tc>
        <w:tcPr>
          <w:tcW w:w="925" w:type="pct"/>
        </w:tcPr>
        <w:p w:rsidR="00BD50A6" w:rsidRDefault="00BD50A6">
          <w:pPr>
            <w:pStyle w:val="Footer"/>
            <w:jc w:val="right"/>
          </w:pPr>
          <w:r>
            <w:rPr>
              <w:rStyle w:val="PageNumber"/>
            </w:rPr>
            <w:fldChar w:fldCharType="begin"/>
          </w:r>
          <w:r>
            <w:rPr>
              <w:rStyle w:val="PageNumber"/>
            </w:rPr>
            <w:instrText xml:space="preserve"> PAGE </w:instrText>
          </w:r>
          <w:r>
            <w:rPr>
              <w:rStyle w:val="PageNumber"/>
            </w:rPr>
            <w:fldChar w:fldCharType="separate"/>
          </w:r>
          <w:r w:rsidR="00F503CF">
            <w:rPr>
              <w:rStyle w:val="PageNumber"/>
              <w:noProof/>
            </w:rPr>
            <w:t>15</w:t>
          </w:r>
          <w:r>
            <w:rPr>
              <w:rStyle w:val="PageNumber"/>
            </w:rPr>
            <w:fldChar w:fldCharType="end"/>
          </w:r>
        </w:p>
      </w:tc>
    </w:tr>
  </w:tbl>
  <w:p w:rsidR="00BD50A6" w:rsidRDefault="00BD5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A6" w:rsidRDefault="00BD50A6">
      <w:r>
        <w:separator/>
      </w:r>
    </w:p>
  </w:footnote>
  <w:footnote w:type="continuationSeparator" w:id="0">
    <w:p w:rsidR="00BD50A6" w:rsidRDefault="00BD5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A6" w:rsidRDefault="00F503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35.05pt;height:174pt;rotation:315;z-index:-251651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5418"/>
      <w:gridCol w:w="271"/>
      <w:gridCol w:w="3167"/>
    </w:tblGrid>
    <w:tr w:rsidR="00BD50A6">
      <w:tc>
        <w:tcPr>
          <w:tcW w:w="3059" w:type="pct"/>
        </w:tcPr>
        <w:p w:rsidR="00BD50A6" w:rsidRDefault="00BD50A6" w:rsidP="003379B0">
          <w:pPr>
            <w:pStyle w:val="Header"/>
            <w:rPr>
              <w:b/>
              <w:bCs/>
              <w:sz w:val="16"/>
            </w:rPr>
          </w:pPr>
        </w:p>
      </w:tc>
      <w:tc>
        <w:tcPr>
          <w:tcW w:w="153" w:type="pct"/>
        </w:tcPr>
        <w:p w:rsidR="00BD50A6" w:rsidRDefault="00BD50A6" w:rsidP="009C214E">
          <w:pPr>
            <w:pStyle w:val="Header"/>
          </w:pPr>
        </w:p>
      </w:tc>
      <w:tc>
        <w:tcPr>
          <w:tcW w:w="1788" w:type="pct"/>
        </w:tcPr>
        <w:p w:rsidR="00BD50A6" w:rsidRDefault="00BD50A6" w:rsidP="009C214E">
          <w:pPr>
            <w:pStyle w:val="Header"/>
            <w:jc w:val="right"/>
            <w:rPr>
              <w:sz w:val="16"/>
            </w:rPr>
          </w:pPr>
          <w:r>
            <w:rPr>
              <w:i/>
              <w:iCs/>
              <w:sz w:val="16"/>
            </w:rPr>
            <w:t>Vismodegib Drug Monograph</w:t>
          </w:r>
        </w:p>
      </w:tc>
    </w:tr>
  </w:tbl>
  <w:p w:rsidR="00BD50A6" w:rsidRDefault="00BD5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A6" w:rsidRDefault="00F503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35.05pt;height:174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A6" w:rsidRDefault="00BD50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5418"/>
      <w:gridCol w:w="271"/>
      <w:gridCol w:w="3167"/>
    </w:tblGrid>
    <w:tr w:rsidR="00BD50A6">
      <w:tc>
        <w:tcPr>
          <w:tcW w:w="3059" w:type="pct"/>
        </w:tcPr>
        <w:p w:rsidR="00BD50A6" w:rsidRDefault="00BD50A6" w:rsidP="009C214E">
          <w:pPr>
            <w:pStyle w:val="Header"/>
            <w:rPr>
              <w:b/>
              <w:bCs/>
              <w:sz w:val="16"/>
            </w:rPr>
          </w:pPr>
        </w:p>
      </w:tc>
      <w:tc>
        <w:tcPr>
          <w:tcW w:w="153" w:type="pct"/>
        </w:tcPr>
        <w:p w:rsidR="00BD50A6" w:rsidRDefault="00BD50A6" w:rsidP="009C214E">
          <w:pPr>
            <w:pStyle w:val="Header"/>
          </w:pPr>
        </w:p>
      </w:tc>
      <w:tc>
        <w:tcPr>
          <w:tcW w:w="1788" w:type="pct"/>
        </w:tcPr>
        <w:p w:rsidR="00BD50A6" w:rsidRDefault="00BD50A6" w:rsidP="009C214E">
          <w:pPr>
            <w:pStyle w:val="Header"/>
            <w:jc w:val="right"/>
            <w:rPr>
              <w:sz w:val="16"/>
            </w:rPr>
          </w:pPr>
          <w:r>
            <w:rPr>
              <w:i/>
              <w:iCs/>
              <w:sz w:val="16"/>
            </w:rPr>
            <w:t>Vismodegib</w:t>
          </w:r>
          <w:r w:rsidR="00F503CF">
            <w:rPr>
              <w:i/>
              <w:iCs/>
              <w:sz w:val="16"/>
            </w:rPr>
            <w:t xml:space="preserve"> Drug Monograph</w:t>
          </w:r>
        </w:p>
      </w:tc>
    </w:tr>
  </w:tbl>
  <w:p w:rsidR="00BD50A6" w:rsidRDefault="00BD50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A6" w:rsidRDefault="00BD50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A6" w:rsidRDefault="00BD50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1" w:type="pct"/>
      <w:tblLook w:val="0000" w:firstRow="0" w:lastRow="0" w:firstColumn="0" w:lastColumn="0" w:noHBand="0" w:noVBand="0"/>
    </w:tblPr>
    <w:tblGrid>
      <w:gridCol w:w="5419"/>
      <w:gridCol w:w="271"/>
      <w:gridCol w:w="3239"/>
    </w:tblGrid>
    <w:tr w:rsidR="00BD50A6">
      <w:tc>
        <w:tcPr>
          <w:tcW w:w="3034" w:type="pct"/>
        </w:tcPr>
        <w:p w:rsidR="00BD50A6" w:rsidRDefault="00BD50A6" w:rsidP="002C36D9">
          <w:pPr>
            <w:pStyle w:val="Header"/>
            <w:rPr>
              <w:b/>
              <w:bCs/>
              <w:sz w:val="16"/>
            </w:rPr>
          </w:pPr>
        </w:p>
      </w:tc>
      <w:tc>
        <w:tcPr>
          <w:tcW w:w="152" w:type="pct"/>
        </w:tcPr>
        <w:p w:rsidR="00BD50A6" w:rsidRDefault="00BD50A6">
          <w:pPr>
            <w:pStyle w:val="Header"/>
          </w:pPr>
        </w:p>
      </w:tc>
      <w:tc>
        <w:tcPr>
          <w:tcW w:w="1814" w:type="pct"/>
        </w:tcPr>
        <w:p w:rsidR="00BD50A6" w:rsidRDefault="00BD50A6">
          <w:pPr>
            <w:pStyle w:val="Header"/>
            <w:jc w:val="right"/>
            <w:rPr>
              <w:sz w:val="16"/>
            </w:rPr>
          </w:pPr>
          <w:r>
            <w:rPr>
              <w:i/>
              <w:iCs/>
              <w:sz w:val="16"/>
            </w:rPr>
            <w:t>Vismodegib</w:t>
          </w:r>
          <w:r w:rsidR="00F503CF">
            <w:rPr>
              <w:i/>
              <w:iCs/>
              <w:sz w:val="16"/>
            </w:rPr>
            <w:t xml:space="preserve"> Drug Monograph</w:t>
          </w:r>
        </w:p>
      </w:tc>
    </w:tr>
  </w:tbl>
  <w:p w:rsidR="00BD50A6" w:rsidRDefault="00BD50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A6" w:rsidRDefault="00BD5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188A2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6FE1E90"/>
    <w:lvl w:ilvl="0">
      <w:start w:val="1"/>
      <w:numFmt w:val="bullet"/>
      <w:lvlText w:val=""/>
      <w:lvlJc w:val="left"/>
      <w:pPr>
        <w:tabs>
          <w:tab w:val="num" w:pos="360"/>
        </w:tabs>
        <w:ind w:left="360" w:hanging="360"/>
      </w:pPr>
      <w:rPr>
        <w:rFonts w:ascii="Symbol" w:hAnsi="Symbol" w:hint="default"/>
      </w:rPr>
    </w:lvl>
  </w:abstractNum>
  <w:abstractNum w:abstractNumId="2">
    <w:nsid w:val="0685427B"/>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3">
    <w:nsid w:val="0B47533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D342CE3"/>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5">
    <w:nsid w:val="0FD91B41"/>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6">
    <w:nsid w:val="13CF2E26"/>
    <w:multiLevelType w:val="hybridMultilevel"/>
    <w:tmpl w:val="32F2C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AE57A4"/>
    <w:multiLevelType w:val="hybridMultilevel"/>
    <w:tmpl w:val="CC380558"/>
    <w:lvl w:ilvl="0" w:tplc="6590E424">
      <w:start w:val="1"/>
      <w:numFmt w:val="bullet"/>
      <w:lvlText w:val="•"/>
      <w:lvlJc w:val="left"/>
      <w:pPr>
        <w:tabs>
          <w:tab w:val="num" w:pos="720"/>
        </w:tabs>
        <w:ind w:left="720" w:hanging="360"/>
      </w:pPr>
      <w:rPr>
        <w:rFonts w:ascii="Arial" w:hAnsi="Arial" w:hint="default"/>
      </w:rPr>
    </w:lvl>
    <w:lvl w:ilvl="1" w:tplc="EA9865AC" w:tentative="1">
      <w:start w:val="1"/>
      <w:numFmt w:val="bullet"/>
      <w:lvlText w:val="•"/>
      <w:lvlJc w:val="left"/>
      <w:pPr>
        <w:tabs>
          <w:tab w:val="num" w:pos="1440"/>
        </w:tabs>
        <w:ind w:left="1440" w:hanging="360"/>
      </w:pPr>
      <w:rPr>
        <w:rFonts w:ascii="Arial" w:hAnsi="Arial" w:hint="default"/>
      </w:rPr>
    </w:lvl>
    <w:lvl w:ilvl="2" w:tplc="F1B2FB18" w:tentative="1">
      <w:start w:val="1"/>
      <w:numFmt w:val="bullet"/>
      <w:lvlText w:val="•"/>
      <w:lvlJc w:val="left"/>
      <w:pPr>
        <w:tabs>
          <w:tab w:val="num" w:pos="2160"/>
        </w:tabs>
        <w:ind w:left="2160" w:hanging="360"/>
      </w:pPr>
      <w:rPr>
        <w:rFonts w:ascii="Arial" w:hAnsi="Arial" w:hint="default"/>
      </w:rPr>
    </w:lvl>
    <w:lvl w:ilvl="3" w:tplc="842C2704" w:tentative="1">
      <w:start w:val="1"/>
      <w:numFmt w:val="bullet"/>
      <w:lvlText w:val="•"/>
      <w:lvlJc w:val="left"/>
      <w:pPr>
        <w:tabs>
          <w:tab w:val="num" w:pos="2880"/>
        </w:tabs>
        <w:ind w:left="2880" w:hanging="360"/>
      </w:pPr>
      <w:rPr>
        <w:rFonts w:ascii="Arial" w:hAnsi="Arial" w:hint="default"/>
      </w:rPr>
    </w:lvl>
    <w:lvl w:ilvl="4" w:tplc="1956445A" w:tentative="1">
      <w:start w:val="1"/>
      <w:numFmt w:val="bullet"/>
      <w:lvlText w:val="•"/>
      <w:lvlJc w:val="left"/>
      <w:pPr>
        <w:tabs>
          <w:tab w:val="num" w:pos="3600"/>
        </w:tabs>
        <w:ind w:left="3600" w:hanging="360"/>
      </w:pPr>
      <w:rPr>
        <w:rFonts w:ascii="Arial" w:hAnsi="Arial" w:hint="default"/>
      </w:rPr>
    </w:lvl>
    <w:lvl w:ilvl="5" w:tplc="A5CAD182" w:tentative="1">
      <w:start w:val="1"/>
      <w:numFmt w:val="bullet"/>
      <w:lvlText w:val="•"/>
      <w:lvlJc w:val="left"/>
      <w:pPr>
        <w:tabs>
          <w:tab w:val="num" w:pos="4320"/>
        </w:tabs>
        <w:ind w:left="4320" w:hanging="360"/>
      </w:pPr>
      <w:rPr>
        <w:rFonts w:ascii="Arial" w:hAnsi="Arial" w:hint="default"/>
      </w:rPr>
    </w:lvl>
    <w:lvl w:ilvl="6" w:tplc="128E136A" w:tentative="1">
      <w:start w:val="1"/>
      <w:numFmt w:val="bullet"/>
      <w:lvlText w:val="•"/>
      <w:lvlJc w:val="left"/>
      <w:pPr>
        <w:tabs>
          <w:tab w:val="num" w:pos="5040"/>
        </w:tabs>
        <w:ind w:left="5040" w:hanging="360"/>
      </w:pPr>
      <w:rPr>
        <w:rFonts w:ascii="Arial" w:hAnsi="Arial" w:hint="default"/>
      </w:rPr>
    </w:lvl>
    <w:lvl w:ilvl="7" w:tplc="19D21444" w:tentative="1">
      <w:start w:val="1"/>
      <w:numFmt w:val="bullet"/>
      <w:lvlText w:val="•"/>
      <w:lvlJc w:val="left"/>
      <w:pPr>
        <w:tabs>
          <w:tab w:val="num" w:pos="5760"/>
        </w:tabs>
        <w:ind w:left="5760" w:hanging="360"/>
      </w:pPr>
      <w:rPr>
        <w:rFonts w:ascii="Arial" w:hAnsi="Arial" w:hint="default"/>
      </w:rPr>
    </w:lvl>
    <w:lvl w:ilvl="8" w:tplc="CDA6CEBA" w:tentative="1">
      <w:start w:val="1"/>
      <w:numFmt w:val="bullet"/>
      <w:lvlText w:val="•"/>
      <w:lvlJc w:val="left"/>
      <w:pPr>
        <w:tabs>
          <w:tab w:val="num" w:pos="6480"/>
        </w:tabs>
        <w:ind w:left="6480" w:hanging="360"/>
      </w:pPr>
      <w:rPr>
        <w:rFonts w:ascii="Arial" w:hAnsi="Arial" w:hint="default"/>
      </w:rPr>
    </w:lvl>
  </w:abstractNum>
  <w:abstractNum w:abstractNumId="8">
    <w:nsid w:val="1B13666C"/>
    <w:multiLevelType w:val="hybridMultilevel"/>
    <w:tmpl w:val="FC6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B3C6F"/>
    <w:multiLevelType w:val="hybridMultilevel"/>
    <w:tmpl w:val="6D9A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4317C"/>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11">
    <w:nsid w:val="28B67EBD"/>
    <w:multiLevelType w:val="hybridMultilevel"/>
    <w:tmpl w:val="F028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11763"/>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13">
    <w:nsid w:val="2AC87C5A"/>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14">
    <w:nsid w:val="2D7757D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2CB62A3"/>
    <w:multiLevelType w:val="hybridMultilevel"/>
    <w:tmpl w:val="C172CE6E"/>
    <w:lvl w:ilvl="0" w:tplc="421A59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C7781E"/>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17">
    <w:nsid w:val="375C12B2"/>
    <w:multiLevelType w:val="hybridMultilevel"/>
    <w:tmpl w:val="83282A68"/>
    <w:lvl w:ilvl="0" w:tplc="610208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273A1C"/>
    <w:multiLevelType w:val="hybridMultilevel"/>
    <w:tmpl w:val="57FA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D265C"/>
    <w:multiLevelType w:val="hybridMultilevel"/>
    <w:tmpl w:val="B19AE4F6"/>
    <w:lvl w:ilvl="0" w:tplc="421A59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9A51D3"/>
    <w:multiLevelType w:val="hybridMultilevel"/>
    <w:tmpl w:val="C038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C6C32"/>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22">
    <w:nsid w:val="484A78CA"/>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23">
    <w:nsid w:val="4E9868A7"/>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24">
    <w:nsid w:val="556B2658"/>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25">
    <w:nsid w:val="56FB22C3"/>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26">
    <w:nsid w:val="59640BAC"/>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27">
    <w:nsid w:val="5AE712E4"/>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28">
    <w:nsid w:val="61F2415D"/>
    <w:multiLevelType w:val="hybridMultilevel"/>
    <w:tmpl w:val="F5BAA184"/>
    <w:lvl w:ilvl="0" w:tplc="6838B868">
      <w:start w:val="1"/>
      <w:numFmt w:val="decimal"/>
      <w:lvlText w:val="%1."/>
      <w:lvlJc w:val="left"/>
      <w:pPr>
        <w:tabs>
          <w:tab w:val="num" w:pos="425"/>
        </w:tabs>
        <w:ind w:left="425"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72253CB"/>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30">
    <w:nsid w:val="6983233C"/>
    <w:multiLevelType w:val="hybridMultilevel"/>
    <w:tmpl w:val="BF6C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996530"/>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32">
    <w:nsid w:val="7FD909FD"/>
    <w:multiLevelType w:val="hybridMultilevel"/>
    <w:tmpl w:val="AACE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29"/>
  </w:num>
  <w:num w:numId="4">
    <w:abstractNumId w:val="25"/>
  </w:num>
  <w:num w:numId="5">
    <w:abstractNumId w:val="22"/>
  </w:num>
  <w:num w:numId="6">
    <w:abstractNumId w:val="16"/>
  </w:num>
  <w:num w:numId="7">
    <w:abstractNumId w:val="27"/>
  </w:num>
  <w:num w:numId="8">
    <w:abstractNumId w:val="10"/>
  </w:num>
  <w:num w:numId="9">
    <w:abstractNumId w:val="4"/>
  </w:num>
  <w:num w:numId="10">
    <w:abstractNumId w:val="23"/>
  </w:num>
  <w:num w:numId="11">
    <w:abstractNumId w:val="13"/>
  </w:num>
  <w:num w:numId="12">
    <w:abstractNumId w:val="31"/>
  </w:num>
  <w:num w:numId="13">
    <w:abstractNumId w:val="21"/>
  </w:num>
  <w:num w:numId="14">
    <w:abstractNumId w:val="2"/>
  </w:num>
  <w:num w:numId="15">
    <w:abstractNumId w:val="12"/>
  </w:num>
  <w:num w:numId="16">
    <w:abstractNumId w:val="14"/>
  </w:num>
  <w:num w:numId="17">
    <w:abstractNumId w:val="3"/>
  </w:num>
  <w:num w:numId="18">
    <w:abstractNumId w:val="26"/>
  </w:num>
  <w:num w:numId="19">
    <w:abstractNumId w:val="17"/>
  </w:num>
  <w:num w:numId="20">
    <w:abstractNumId w:val="1"/>
  </w:num>
  <w:num w:numId="21">
    <w:abstractNumId w:val="0"/>
  </w:num>
  <w:num w:numId="22">
    <w:abstractNumId w:val="19"/>
  </w:num>
  <w:num w:numId="23">
    <w:abstractNumId w:val="15"/>
  </w:num>
  <w:num w:numId="24">
    <w:abstractNumId w:val="6"/>
  </w:num>
  <w:num w:numId="25">
    <w:abstractNumId w:val="18"/>
  </w:num>
  <w:num w:numId="26">
    <w:abstractNumId w:val="8"/>
  </w:num>
  <w:num w:numId="27">
    <w:abstractNumId w:val="11"/>
  </w:num>
  <w:num w:numId="28">
    <w:abstractNumId w:val="9"/>
  </w:num>
  <w:num w:numId="29">
    <w:abstractNumId w:val="20"/>
  </w:num>
  <w:num w:numId="30">
    <w:abstractNumId w:val="30"/>
  </w:num>
  <w:num w:numId="31">
    <w:abstractNumId w:val="32"/>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TableSimple1"/>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F7"/>
    <w:rsid w:val="000428A1"/>
    <w:rsid w:val="0005033A"/>
    <w:rsid w:val="00053AA4"/>
    <w:rsid w:val="00072F44"/>
    <w:rsid w:val="000840AD"/>
    <w:rsid w:val="000D1EF2"/>
    <w:rsid w:val="000E3001"/>
    <w:rsid w:val="000E6497"/>
    <w:rsid w:val="00110BA1"/>
    <w:rsid w:val="00124618"/>
    <w:rsid w:val="00136B57"/>
    <w:rsid w:val="001510F0"/>
    <w:rsid w:val="001925FB"/>
    <w:rsid w:val="00230BCB"/>
    <w:rsid w:val="002516F7"/>
    <w:rsid w:val="002C36D9"/>
    <w:rsid w:val="003303E8"/>
    <w:rsid w:val="00331F2D"/>
    <w:rsid w:val="003379B0"/>
    <w:rsid w:val="00340041"/>
    <w:rsid w:val="00345C49"/>
    <w:rsid w:val="00367522"/>
    <w:rsid w:val="00373D5F"/>
    <w:rsid w:val="003A4143"/>
    <w:rsid w:val="003B20B4"/>
    <w:rsid w:val="003E067C"/>
    <w:rsid w:val="004257D4"/>
    <w:rsid w:val="00482E9F"/>
    <w:rsid w:val="004865DF"/>
    <w:rsid w:val="00494CA7"/>
    <w:rsid w:val="00495E64"/>
    <w:rsid w:val="004B0DE1"/>
    <w:rsid w:val="004B36B1"/>
    <w:rsid w:val="004D1C52"/>
    <w:rsid w:val="004F6C96"/>
    <w:rsid w:val="005233BC"/>
    <w:rsid w:val="00554837"/>
    <w:rsid w:val="0059459B"/>
    <w:rsid w:val="005A37BF"/>
    <w:rsid w:val="005D11D1"/>
    <w:rsid w:val="006042F3"/>
    <w:rsid w:val="0062245E"/>
    <w:rsid w:val="00632A83"/>
    <w:rsid w:val="006354DB"/>
    <w:rsid w:val="006D4EFD"/>
    <w:rsid w:val="006D74E6"/>
    <w:rsid w:val="006E08B4"/>
    <w:rsid w:val="00747D28"/>
    <w:rsid w:val="00780881"/>
    <w:rsid w:val="00791049"/>
    <w:rsid w:val="007D1830"/>
    <w:rsid w:val="00850FD9"/>
    <w:rsid w:val="00885A63"/>
    <w:rsid w:val="00891449"/>
    <w:rsid w:val="008B6BCB"/>
    <w:rsid w:val="008C782C"/>
    <w:rsid w:val="008E37A7"/>
    <w:rsid w:val="008F1DF1"/>
    <w:rsid w:val="0091309D"/>
    <w:rsid w:val="00970078"/>
    <w:rsid w:val="009B132C"/>
    <w:rsid w:val="009B70BC"/>
    <w:rsid w:val="009C214E"/>
    <w:rsid w:val="00A67B4A"/>
    <w:rsid w:val="00AA27E4"/>
    <w:rsid w:val="00AD25BB"/>
    <w:rsid w:val="00AF0486"/>
    <w:rsid w:val="00B03061"/>
    <w:rsid w:val="00B621F4"/>
    <w:rsid w:val="00B7294D"/>
    <w:rsid w:val="00BA1A62"/>
    <w:rsid w:val="00BC3FB7"/>
    <w:rsid w:val="00BD50A6"/>
    <w:rsid w:val="00BF0A0D"/>
    <w:rsid w:val="00BF649F"/>
    <w:rsid w:val="00C21F12"/>
    <w:rsid w:val="00C2374B"/>
    <w:rsid w:val="00C42957"/>
    <w:rsid w:val="00C831C3"/>
    <w:rsid w:val="00CA27AB"/>
    <w:rsid w:val="00D45B9C"/>
    <w:rsid w:val="00D61F85"/>
    <w:rsid w:val="00D70CB9"/>
    <w:rsid w:val="00D873F0"/>
    <w:rsid w:val="00DA47A6"/>
    <w:rsid w:val="00DE3989"/>
    <w:rsid w:val="00E3065C"/>
    <w:rsid w:val="00E56A0D"/>
    <w:rsid w:val="00E763FB"/>
    <w:rsid w:val="00F14CFC"/>
    <w:rsid w:val="00F503CF"/>
    <w:rsid w:val="00F92AB7"/>
    <w:rsid w:val="00F95B4F"/>
    <w:rsid w:val="00F96DBF"/>
    <w:rsid w:val="00FC2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8D3"/>
    <w:rPr>
      <w:sz w:val="22"/>
    </w:rPr>
  </w:style>
  <w:style w:type="paragraph" w:styleId="Heading1">
    <w:name w:val="heading 1"/>
    <w:basedOn w:val="Normal"/>
    <w:next w:val="Normal"/>
    <w:qFormat/>
    <w:rsid w:val="00510B55"/>
    <w:pPr>
      <w:keepNext/>
      <w:spacing w:before="120" w:after="120"/>
      <w:outlineLvl w:val="0"/>
    </w:pPr>
    <w:rPr>
      <w:rFonts w:ascii="Arial" w:hAnsi="Arial"/>
      <w:b/>
      <w:u w:val="single"/>
    </w:rPr>
  </w:style>
  <w:style w:type="paragraph" w:styleId="Heading2">
    <w:name w:val="heading 2"/>
    <w:basedOn w:val="Normal"/>
    <w:next w:val="Normal"/>
    <w:qFormat/>
    <w:pPr>
      <w:keepNext/>
      <w:spacing w:before="120"/>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color w:val="000000"/>
    </w:rPr>
  </w:style>
  <w:style w:type="paragraph" w:styleId="Heading6">
    <w:name w:val="heading 6"/>
    <w:basedOn w:val="Normal"/>
    <w:next w:val="Normal"/>
    <w:link w:val="Heading6Char"/>
    <w:semiHidden/>
    <w:unhideWhenUsed/>
    <w:qFormat/>
    <w:rsid w:val="004B36B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Table"/>
    <w:qFormat/>
    <w:pPr>
      <w:keepNext/>
      <w:spacing w:before="60"/>
      <w:outlineLvl w:val="6"/>
    </w:pPr>
    <w:rPr>
      <w:rFonts w:ascii="Arial" w:hAnsi="Arial"/>
      <w:b/>
      <w:sz w:val="1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color w:val="000000"/>
    </w:rPr>
  </w:style>
  <w:style w:type="paragraph" w:styleId="Subtitle">
    <w:name w:val="Subtitle"/>
    <w:basedOn w:val="Normal"/>
    <w:qFormat/>
    <w:pPr>
      <w:jc w:val="center"/>
    </w:pPr>
    <w:rPr>
      <w:rFonts w:ascii="Arial" w:hAnsi="Arial"/>
      <w:b/>
      <w:color w:val="000000"/>
    </w:rPr>
  </w:style>
  <w:style w:type="paragraph" w:styleId="BodyText">
    <w:name w:val="Body Text"/>
    <w:basedOn w:val="Normal"/>
    <w:rPr>
      <w:rFonts w:ascii="Arial" w:hAnsi="Arial"/>
      <w:sz w:val="20"/>
    </w:rPr>
  </w:style>
  <w:style w:type="paragraph" w:styleId="FootnoteText">
    <w:name w:val="footnote text"/>
    <w:basedOn w:val="Normal"/>
    <w:semiHidden/>
    <w:rPr>
      <w:sz w:val="2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customStyle="1" w:styleId="Table">
    <w:name w:val="Table"/>
    <w:basedOn w:val="BodyText"/>
    <w:rsid w:val="009771A6"/>
    <w:rPr>
      <w:color w:val="000000"/>
      <w:sz w:val="18"/>
    </w:rPr>
  </w:style>
  <w:style w:type="paragraph" w:styleId="ListBullet2">
    <w:name w:val="List Bullet 2"/>
    <w:basedOn w:val="Normal"/>
    <w:autoRedefine/>
    <w:rsid w:val="009E7E91"/>
    <w:pPr>
      <w:numPr>
        <w:numId w:val="21"/>
      </w:numPr>
    </w:pPr>
  </w:style>
  <w:style w:type="paragraph" w:styleId="Footer">
    <w:name w:val="footer"/>
    <w:basedOn w:val="Normal"/>
    <w:pPr>
      <w:tabs>
        <w:tab w:val="center" w:pos="4320"/>
        <w:tab w:val="right" w:pos="8640"/>
      </w:tabs>
    </w:pPr>
    <w:rPr>
      <w:rFonts w:ascii="Arial" w:hAnsi="Arial"/>
      <w:sz w:val="16"/>
    </w:rPr>
  </w:style>
  <w:style w:type="character" w:styleId="PageNumber">
    <w:name w:val="page number"/>
    <w:basedOn w:val="DefaultParagraphFont"/>
  </w:style>
  <w:style w:type="paragraph" w:styleId="BalloonText">
    <w:name w:val="Balloon Text"/>
    <w:basedOn w:val="Normal"/>
    <w:semiHidden/>
    <w:rsid w:val="002516F7"/>
    <w:rPr>
      <w:rFonts w:ascii="Tahoma" w:hAnsi="Tahoma" w:cs="Tahoma"/>
      <w:sz w:val="16"/>
      <w:szCs w:val="16"/>
    </w:rPr>
  </w:style>
  <w:style w:type="paragraph" w:customStyle="1" w:styleId="TableFootnote">
    <w:name w:val="TableFootnote"/>
    <w:basedOn w:val="Table"/>
    <w:qFormat/>
  </w:style>
  <w:style w:type="paragraph" w:styleId="Caption">
    <w:name w:val="caption"/>
    <w:basedOn w:val="Normal"/>
    <w:next w:val="Normal"/>
    <w:qFormat/>
    <w:pPr>
      <w:keepNext/>
      <w:spacing w:before="120"/>
    </w:pPr>
    <w:rPr>
      <w:rFonts w:ascii="Arial" w:hAnsi="Arial"/>
      <w:b/>
      <w:bCs/>
      <w:sz w:val="18"/>
    </w:rPr>
  </w:style>
  <w:style w:type="paragraph" w:customStyle="1" w:styleId="StyleHeading1Black">
    <w:name w:val="Style Heading 1 + Black"/>
    <w:basedOn w:val="Heading1"/>
    <w:rsid w:val="008160D8"/>
    <w:rPr>
      <w:bCs/>
      <w:color w:val="000000"/>
    </w:rPr>
  </w:style>
  <w:style w:type="character" w:styleId="FollowedHyperlink">
    <w:name w:val="FollowedHyperlink"/>
    <w:basedOn w:val="DefaultParagraphFont"/>
    <w:rsid w:val="009E4E80"/>
    <w:rPr>
      <w:color w:val="800080"/>
      <w:u w:val="single"/>
    </w:rPr>
  </w:style>
  <w:style w:type="paragraph" w:styleId="NormalWeb">
    <w:name w:val="Normal (Web)"/>
    <w:basedOn w:val="Normal"/>
    <w:uiPriority w:val="99"/>
    <w:rsid w:val="00937B26"/>
    <w:pPr>
      <w:spacing w:before="100" w:beforeAutospacing="1" w:after="100" w:afterAutospacing="1"/>
    </w:pPr>
    <w:rPr>
      <w:color w:val="000080"/>
      <w:sz w:val="24"/>
      <w:szCs w:val="24"/>
    </w:rPr>
  </w:style>
  <w:style w:type="paragraph" w:styleId="EndnoteText">
    <w:name w:val="endnote text"/>
    <w:basedOn w:val="Normal"/>
    <w:link w:val="EndnoteTextChar"/>
    <w:rsid w:val="00A97819"/>
    <w:rPr>
      <w:sz w:val="20"/>
    </w:rPr>
  </w:style>
  <w:style w:type="character" w:customStyle="1" w:styleId="EndnoteTextChar">
    <w:name w:val="Endnote Text Char"/>
    <w:basedOn w:val="DefaultParagraphFont"/>
    <w:link w:val="EndnoteText"/>
    <w:rsid w:val="00A97819"/>
  </w:style>
  <w:style w:type="character" w:styleId="EndnoteReference">
    <w:name w:val="endnote reference"/>
    <w:basedOn w:val="DefaultParagraphFont"/>
    <w:rsid w:val="00A97819"/>
    <w:rPr>
      <w:vertAlign w:val="superscript"/>
    </w:rPr>
  </w:style>
  <w:style w:type="table" w:styleId="TableColumns4">
    <w:name w:val="Table Columns 4"/>
    <w:basedOn w:val="TableNormal"/>
    <w:rsid w:val="009771A6"/>
    <w:rPr>
      <w:rFonts w:ascii="Arial" w:hAnsi="Arial"/>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1">
    <w:name w:val="Table Simple 1"/>
    <w:basedOn w:val="TableNormal"/>
    <w:rsid w:val="00EC2EEB"/>
    <w:rPr>
      <w:rFonts w:ascii="Arial" w:hAnsi="Arial"/>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sz w:val="18"/>
      </w:rPr>
      <w:tblPr/>
      <w:tcPr>
        <w:tcBorders>
          <w:bottom w:val="single" w:sz="6" w:space="0" w:color="000000"/>
        </w:tcBorders>
        <w:shd w:val="clear" w:color="auto" w:fill="auto"/>
      </w:tcPr>
    </w:tblStylePr>
    <w:tblStylePr w:type="lastRow">
      <w:rPr>
        <w:rFonts w:ascii="Arial" w:hAnsi="Arial"/>
        <w:sz w:val="18"/>
      </w:rPr>
      <w:tblPr/>
      <w:tcPr>
        <w:tcBorders>
          <w:top w:val="nil"/>
        </w:tcBorders>
        <w:shd w:val="clear" w:color="auto" w:fill="auto"/>
      </w:tcPr>
    </w:tblStylePr>
  </w:style>
  <w:style w:type="paragraph" w:customStyle="1" w:styleId="Default">
    <w:name w:val="Default"/>
    <w:rsid w:val="00E14064"/>
    <w:pPr>
      <w:autoSpaceDE w:val="0"/>
      <w:autoSpaceDN w:val="0"/>
      <w:adjustRightInd w:val="0"/>
    </w:pPr>
    <w:rPr>
      <w:rFonts w:eastAsia="Calibri"/>
      <w:color w:val="000000"/>
      <w:sz w:val="24"/>
      <w:szCs w:val="24"/>
    </w:rPr>
  </w:style>
  <w:style w:type="table" w:styleId="TableGrid">
    <w:name w:val="Table Grid"/>
    <w:basedOn w:val="TableNormal"/>
    <w:uiPriority w:val="59"/>
    <w:rsid w:val="0034778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4A81"/>
    <w:pPr>
      <w:ind w:left="720"/>
      <w:contextualSpacing/>
    </w:pPr>
  </w:style>
  <w:style w:type="paragraph" w:styleId="DocumentMap">
    <w:name w:val="Document Map"/>
    <w:basedOn w:val="Normal"/>
    <w:link w:val="DocumentMapChar"/>
    <w:rsid w:val="00EF3A2B"/>
    <w:rPr>
      <w:rFonts w:ascii="Lucida Grande" w:hAnsi="Lucida Grande"/>
      <w:sz w:val="24"/>
      <w:szCs w:val="24"/>
    </w:rPr>
  </w:style>
  <w:style w:type="character" w:customStyle="1" w:styleId="DocumentMapChar">
    <w:name w:val="Document Map Char"/>
    <w:basedOn w:val="DefaultParagraphFont"/>
    <w:link w:val="DocumentMap"/>
    <w:rsid w:val="00EF3A2B"/>
    <w:rPr>
      <w:rFonts w:ascii="Lucida Grande" w:hAnsi="Lucida Grande"/>
      <w:sz w:val="24"/>
      <w:szCs w:val="24"/>
    </w:rPr>
  </w:style>
  <w:style w:type="table" w:styleId="TableTheme">
    <w:name w:val="Table Theme"/>
    <w:basedOn w:val="TableNormal"/>
    <w:rsid w:val="00BC6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440F2"/>
    <w:rPr>
      <w:sz w:val="16"/>
      <w:szCs w:val="16"/>
    </w:rPr>
  </w:style>
  <w:style w:type="paragraph" w:styleId="CommentText">
    <w:name w:val="annotation text"/>
    <w:basedOn w:val="Normal"/>
    <w:link w:val="CommentTextChar"/>
    <w:rsid w:val="006440F2"/>
    <w:rPr>
      <w:sz w:val="20"/>
    </w:rPr>
  </w:style>
  <w:style w:type="character" w:customStyle="1" w:styleId="CommentTextChar">
    <w:name w:val="Comment Text Char"/>
    <w:basedOn w:val="DefaultParagraphFont"/>
    <w:link w:val="CommentText"/>
    <w:rsid w:val="006440F2"/>
  </w:style>
  <w:style w:type="paragraph" w:styleId="CommentSubject">
    <w:name w:val="annotation subject"/>
    <w:basedOn w:val="CommentText"/>
    <w:next w:val="CommentText"/>
    <w:link w:val="CommentSubjectChar"/>
    <w:rsid w:val="006440F2"/>
    <w:rPr>
      <w:b/>
      <w:bCs/>
    </w:rPr>
  </w:style>
  <w:style w:type="character" w:customStyle="1" w:styleId="CommentSubjectChar">
    <w:name w:val="Comment Subject Char"/>
    <w:basedOn w:val="CommentTextChar"/>
    <w:link w:val="CommentSubject"/>
    <w:rsid w:val="006440F2"/>
    <w:rPr>
      <w:b/>
      <w:bCs/>
    </w:rPr>
  </w:style>
  <w:style w:type="character" w:customStyle="1" w:styleId="Heading6Char">
    <w:name w:val="Heading 6 Char"/>
    <w:basedOn w:val="DefaultParagraphFont"/>
    <w:link w:val="Heading6"/>
    <w:semiHidden/>
    <w:rsid w:val="004B36B1"/>
    <w:rPr>
      <w:rFonts w:asciiTheme="majorHAnsi" w:eastAsiaTheme="majorEastAsia" w:hAnsiTheme="majorHAnsi" w:cstheme="majorBidi"/>
      <w:i/>
      <w:iCs/>
      <w:color w:val="243F60" w:themeColor="accent1" w:themeShade="7F"/>
      <w:sz w:val="22"/>
    </w:rPr>
  </w:style>
  <w:style w:type="paragraph" w:customStyle="1" w:styleId="NormalAgenda">
    <w:name w:val="NormalAgenda"/>
    <w:basedOn w:val="Normal"/>
    <w:link w:val="NormalAgendaChar"/>
    <w:qFormat/>
    <w:rsid w:val="004B36B1"/>
    <w:pPr>
      <w:ind w:left="1440"/>
    </w:pPr>
    <w:rPr>
      <w:sz w:val="20"/>
      <w:szCs w:val="24"/>
    </w:rPr>
  </w:style>
  <w:style w:type="character" w:customStyle="1" w:styleId="NormalAgendaChar">
    <w:name w:val="NormalAgenda Char"/>
    <w:basedOn w:val="DefaultParagraphFont"/>
    <w:link w:val="NormalAgenda"/>
    <w:rsid w:val="004B36B1"/>
    <w:rPr>
      <w:szCs w:val="24"/>
    </w:rPr>
  </w:style>
  <w:style w:type="character" w:customStyle="1" w:styleId="TitleChar">
    <w:name w:val="Title Char"/>
    <w:basedOn w:val="DefaultParagraphFont"/>
    <w:link w:val="Title"/>
    <w:rsid w:val="004B36B1"/>
    <w:rPr>
      <w:rFonts w:ascii="Arial" w:hAnsi="Arial"/>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8D3"/>
    <w:rPr>
      <w:sz w:val="22"/>
    </w:rPr>
  </w:style>
  <w:style w:type="paragraph" w:styleId="Heading1">
    <w:name w:val="heading 1"/>
    <w:basedOn w:val="Normal"/>
    <w:next w:val="Normal"/>
    <w:qFormat/>
    <w:rsid w:val="00510B55"/>
    <w:pPr>
      <w:keepNext/>
      <w:spacing w:before="120" w:after="120"/>
      <w:outlineLvl w:val="0"/>
    </w:pPr>
    <w:rPr>
      <w:rFonts w:ascii="Arial" w:hAnsi="Arial"/>
      <w:b/>
      <w:u w:val="single"/>
    </w:rPr>
  </w:style>
  <w:style w:type="paragraph" w:styleId="Heading2">
    <w:name w:val="heading 2"/>
    <w:basedOn w:val="Normal"/>
    <w:next w:val="Normal"/>
    <w:qFormat/>
    <w:pPr>
      <w:keepNext/>
      <w:spacing w:before="120"/>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color w:val="000000"/>
    </w:rPr>
  </w:style>
  <w:style w:type="paragraph" w:styleId="Heading6">
    <w:name w:val="heading 6"/>
    <w:basedOn w:val="Normal"/>
    <w:next w:val="Normal"/>
    <w:link w:val="Heading6Char"/>
    <w:semiHidden/>
    <w:unhideWhenUsed/>
    <w:qFormat/>
    <w:rsid w:val="004B36B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Table"/>
    <w:qFormat/>
    <w:pPr>
      <w:keepNext/>
      <w:spacing w:before="60"/>
      <w:outlineLvl w:val="6"/>
    </w:pPr>
    <w:rPr>
      <w:rFonts w:ascii="Arial" w:hAnsi="Arial"/>
      <w:b/>
      <w:sz w:val="1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color w:val="000000"/>
    </w:rPr>
  </w:style>
  <w:style w:type="paragraph" w:styleId="Subtitle">
    <w:name w:val="Subtitle"/>
    <w:basedOn w:val="Normal"/>
    <w:qFormat/>
    <w:pPr>
      <w:jc w:val="center"/>
    </w:pPr>
    <w:rPr>
      <w:rFonts w:ascii="Arial" w:hAnsi="Arial"/>
      <w:b/>
      <w:color w:val="000000"/>
    </w:rPr>
  </w:style>
  <w:style w:type="paragraph" w:styleId="BodyText">
    <w:name w:val="Body Text"/>
    <w:basedOn w:val="Normal"/>
    <w:rPr>
      <w:rFonts w:ascii="Arial" w:hAnsi="Arial"/>
      <w:sz w:val="20"/>
    </w:rPr>
  </w:style>
  <w:style w:type="paragraph" w:styleId="FootnoteText">
    <w:name w:val="footnote text"/>
    <w:basedOn w:val="Normal"/>
    <w:semiHidden/>
    <w:rPr>
      <w:sz w:val="2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customStyle="1" w:styleId="Table">
    <w:name w:val="Table"/>
    <w:basedOn w:val="BodyText"/>
    <w:rsid w:val="009771A6"/>
    <w:rPr>
      <w:color w:val="000000"/>
      <w:sz w:val="18"/>
    </w:rPr>
  </w:style>
  <w:style w:type="paragraph" w:styleId="ListBullet2">
    <w:name w:val="List Bullet 2"/>
    <w:basedOn w:val="Normal"/>
    <w:autoRedefine/>
    <w:rsid w:val="009E7E91"/>
    <w:pPr>
      <w:numPr>
        <w:numId w:val="21"/>
      </w:numPr>
    </w:pPr>
  </w:style>
  <w:style w:type="paragraph" w:styleId="Footer">
    <w:name w:val="footer"/>
    <w:basedOn w:val="Normal"/>
    <w:pPr>
      <w:tabs>
        <w:tab w:val="center" w:pos="4320"/>
        <w:tab w:val="right" w:pos="8640"/>
      </w:tabs>
    </w:pPr>
    <w:rPr>
      <w:rFonts w:ascii="Arial" w:hAnsi="Arial"/>
      <w:sz w:val="16"/>
    </w:rPr>
  </w:style>
  <w:style w:type="character" w:styleId="PageNumber">
    <w:name w:val="page number"/>
    <w:basedOn w:val="DefaultParagraphFont"/>
  </w:style>
  <w:style w:type="paragraph" w:styleId="BalloonText">
    <w:name w:val="Balloon Text"/>
    <w:basedOn w:val="Normal"/>
    <w:semiHidden/>
    <w:rsid w:val="002516F7"/>
    <w:rPr>
      <w:rFonts w:ascii="Tahoma" w:hAnsi="Tahoma" w:cs="Tahoma"/>
      <w:sz w:val="16"/>
      <w:szCs w:val="16"/>
    </w:rPr>
  </w:style>
  <w:style w:type="paragraph" w:customStyle="1" w:styleId="TableFootnote">
    <w:name w:val="TableFootnote"/>
    <w:basedOn w:val="Table"/>
    <w:qFormat/>
  </w:style>
  <w:style w:type="paragraph" w:styleId="Caption">
    <w:name w:val="caption"/>
    <w:basedOn w:val="Normal"/>
    <w:next w:val="Normal"/>
    <w:qFormat/>
    <w:pPr>
      <w:keepNext/>
      <w:spacing w:before="120"/>
    </w:pPr>
    <w:rPr>
      <w:rFonts w:ascii="Arial" w:hAnsi="Arial"/>
      <w:b/>
      <w:bCs/>
      <w:sz w:val="18"/>
    </w:rPr>
  </w:style>
  <w:style w:type="paragraph" w:customStyle="1" w:styleId="StyleHeading1Black">
    <w:name w:val="Style Heading 1 + Black"/>
    <w:basedOn w:val="Heading1"/>
    <w:rsid w:val="008160D8"/>
    <w:rPr>
      <w:bCs/>
      <w:color w:val="000000"/>
    </w:rPr>
  </w:style>
  <w:style w:type="character" w:styleId="FollowedHyperlink">
    <w:name w:val="FollowedHyperlink"/>
    <w:basedOn w:val="DefaultParagraphFont"/>
    <w:rsid w:val="009E4E80"/>
    <w:rPr>
      <w:color w:val="800080"/>
      <w:u w:val="single"/>
    </w:rPr>
  </w:style>
  <w:style w:type="paragraph" w:styleId="NormalWeb">
    <w:name w:val="Normal (Web)"/>
    <w:basedOn w:val="Normal"/>
    <w:uiPriority w:val="99"/>
    <w:rsid w:val="00937B26"/>
    <w:pPr>
      <w:spacing w:before="100" w:beforeAutospacing="1" w:after="100" w:afterAutospacing="1"/>
    </w:pPr>
    <w:rPr>
      <w:color w:val="000080"/>
      <w:sz w:val="24"/>
      <w:szCs w:val="24"/>
    </w:rPr>
  </w:style>
  <w:style w:type="paragraph" w:styleId="EndnoteText">
    <w:name w:val="endnote text"/>
    <w:basedOn w:val="Normal"/>
    <w:link w:val="EndnoteTextChar"/>
    <w:rsid w:val="00A97819"/>
    <w:rPr>
      <w:sz w:val="20"/>
    </w:rPr>
  </w:style>
  <w:style w:type="character" w:customStyle="1" w:styleId="EndnoteTextChar">
    <w:name w:val="Endnote Text Char"/>
    <w:basedOn w:val="DefaultParagraphFont"/>
    <w:link w:val="EndnoteText"/>
    <w:rsid w:val="00A97819"/>
  </w:style>
  <w:style w:type="character" w:styleId="EndnoteReference">
    <w:name w:val="endnote reference"/>
    <w:basedOn w:val="DefaultParagraphFont"/>
    <w:rsid w:val="00A97819"/>
    <w:rPr>
      <w:vertAlign w:val="superscript"/>
    </w:rPr>
  </w:style>
  <w:style w:type="table" w:styleId="TableColumns4">
    <w:name w:val="Table Columns 4"/>
    <w:basedOn w:val="TableNormal"/>
    <w:rsid w:val="009771A6"/>
    <w:rPr>
      <w:rFonts w:ascii="Arial" w:hAnsi="Arial"/>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1">
    <w:name w:val="Table Simple 1"/>
    <w:basedOn w:val="TableNormal"/>
    <w:rsid w:val="00EC2EEB"/>
    <w:rPr>
      <w:rFonts w:ascii="Arial" w:hAnsi="Arial"/>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sz w:val="18"/>
      </w:rPr>
      <w:tblPr/>
      <w:tcPr>
        <w:tcBorders>
          <w:bottom w:val="single" w:sz="6" w:space="0" w:color="000000"/>
        </w:tcBorders>
        <w:shd w:val="clear" w:color="auto" w:fill="auto"/>
      </w:tcPr>
    </w:tblStylePr>
    <w:tblStylePr w:type="lastRow">
      <w:rPr>
        <w:rFonts w:ascii="Arial" w:hAnsi="Arial"/>
        <w:sz w:val="18"/>
      </w:rPr>
      <w:tblPr/>
      <w:tcPr>
        <w:tcBorders>
          <w:top w:val="nil"/>
        </w:tcBorders>
        <w:shd w:val="clear" w:color="auto" w:fill="auto"/>
      </w:tcPr>
    </w:tblStylePr>
  </w:style>
  <w:style w:type="paragraph" w:customStyle="1" w:styleId="Default">
    <w:name w:val="Default"/>
    <w:rsid w:val="00E14064"/>
    <w:pPr>
      <w:autoSpaceDE w:val="0"/>
      <w:autoSpaceDN w:val="0"/>
      <w:adjustRightInd w:val="0"/>
    </w:pPr>
    <w:rPr>
      <w:rFonts w:eastAsia="Calibri"/>
      <w:color w:val="000000"/>
      <w:sz w:val="24"/>
      <w:szCs w:val="24"/>
    </w:rPr>
  </w:style>
  <w:style w:type="table" w:styleId="TableGrid">
    <w:name w:val="Table Grid"/>
    <w:basedOn w:val="TableNormal"/>
    <w:uiPriority w:val="59"/>
    <w:rsid w:val="0034778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4A81"/>
    <w:pPr>
      <w:ind w:left="720"/>
      <w:contextualSpacing/>
    </w:pPr>
  </w:style>
  <w:style w:type="paragraph" w:styleId="DocumentMap">
    <w:name w:val="Document Map"/>
    <w:basedOn w:val="Normal"/>
    <w:link w:val="DocumentMapChar"/>
    <w:rsid w:val="00EF3A2B"/>
    <w:rPr>
      <w:rFonts w:ascii="Lucida Grande" w:hAnsi="Lucida Grande"/>
      <w:sz w:val="24"/>
      <w:szCs w:val="24"/>
    </w:rPr>
  </w:style>
  <w:style w:type="character" w:customStyle="1" w:styleId="DocumentMapChar">
    <w:name w:val="Document Map Char"/>
    <w:basedOn w:val="DefaultParagraphFont"/>
    <w:link w:val="DocumentMap"/>
    <w:rsid w:val="00EF3A2B"/>
    <w:rPr>
      <w:rFonts w:ascii="Lucida Grande" w:hAnsi="Lucida Grande"/>
      <w:sz w:val="24"/>
      <w:szCs w:val="24"/>
    </w:rPr>
  </w:style>
  <w:style w:type="table" w:styleId="TableTheme">
    <w:name w:val="Table Theme"/>
    <w:basedOn w:val="TableNormal"/>
    <w:rsid w:val="00BC6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440F2"/>
    <w:rPr>
      <w:sz w:val="16"/>
      <w:szCs w:val="16"/>
    </w:rPr>
  </w:style>
  <w:style w:type="paragraph" w:styleId="CommentText">
    <w:name w:val="annotation text"/>
    <w:basedOn w:val="Normal"/>
    <w:link w:val="CommentTextChar"/>
    <w:rsid w:val="006440F2"/>
    <w:rPr>
      <w:sz w:val="20"/>
    </w:rPr>
  </w:style>
  <w:style w:type="character" w:customStyle="1" w:styleId="CommentTextChar">
    <w:name w:val="Comment Text Char"/>
    <w:basedOn w:val="DefaultParagraphFont"/>
    <w:link w:val="CommentText"/>
    <w:rsid w:val="006440F2"/>
  </w:style>
  <w:style w:type="paragraph" w:styleId="CommentSubject">
    <w:name w:val="annotation subject"/>
    <w:basedOn w:val="CommentText"/>
    <w:next w:val="CommentText"/>
    <w:link w:val="CommentSubjectChar"/>
    <w:rsid w:val="006440F2"/>
    <w:rPr>
      <w:b/>
      <w:bCs/>
    </w:rPr>
  </w:style>
  <w:style w:type="character" w:customStyle="1" w:styleId="CommentSubjectChar">
    <w:name w:val="Comment Subject Char"/>
    <w:basedOn w:val="CommentTextChar"/>
    <w:link w:val="CommentSubject"/>
    <w:rsid w:val="006440F2"/>
    <w:rPr>
      <w:b/>
      <w:bCs/>
    </w:rPr>
  </w:style>
  <w:style w:type="character" w:customStyle="1" w:styleId="Heading6Char">
    <w:name w:val="Heading 6 Char"/>
    <w:basedOn w:val="DefaultParagraphFont"/>
    <w:link w:val="Heading6"/>
    <w:semiHidden/>
    <w:rsid w:val="004B36B1"/>
    <w:rPr>
      <w:rFonts w:asciiTheme="majorHAnsi" w:eastAsiaTheme="majorEastAsia" w:hAnsiTheme="majorHAnsi" w:cstheme="majorBidi"/>
      <w:i/>
      <w:iCs/>
      <w:color w:val="243F60" w:themeColor="accent1" w:themeShade="7F"/>
      <w:sz w:val="22"/>
    </w:rPr>
  </w:style>
  <w:style w:type="paragraph" w:customStyle="1" w:styleId="NormalAgenda">
    <w:name w:val="NormalAgenda"/>
    <w:basedOn w:val="Normal"/>
    <w:link w:val="NormalAgendaChar"/>
    <w:qFormat/>
    <w:rsid w:val="004B36B1"/>
    <w:pPr>
      <w:ind w:left="1440"/>
    </w:pPr>
    <w:rPr>
      <w:sz w:val="20"/>
      <w:szCs w:val="24"/>
    </w:rPr>
  </w:style>
  <w:style w:type="character" w:customStyle="1" w:styleId="NormalAgendaChar">
    <w:name w:val="NormalAgenda Char"/>
    <w:basedOn w:val="DefaultParagraphFont"/>
    <w:link w:val="NormalAgenda"/>
    <w:rsid w:val="004B36B1"/>
    <w:rPr>
      <w:szCs w:val="24"/>
    </w:rPr>
  </w:style>
  <w:style w:type="character" w:customStyle="1" w:styleId="TitleChar">
    <w:name w:val="Title Char"/>
    <w:basedOn w:val="DefaultParagraphFont"/>
    <w:link w:val="Title"/>
    <w:rsid w:val="004B36B1"/>
    <w:rPr>
      <w:rFonts w:ascii="Arial" w:hAnsi="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3458">
      <w:bodyDiv w:val="1"/>
      <w:marLeft w:val="0"/>
      <w:marRight w:val="0"/>
      <w:marTop w:val="0"/>
      <w:marBottom w:val="0"/>
      <w:divBdr>
        <w:top w:val="none" w:sz="0" w:space="0" w:color="auto"/>
        <w:left w:val="none" w:sz="0" w:space="0" w:color="auto"/>
        <w:bottom w:val="none" w:sz="0" w:space="0" w:color="auto"/>
        <w:right w:val="none" w:sz="0" w:space="0" w:color="auto"/>
      </w:divBdr>
    </w:div>
    <w:div w:id="642082186">
      <w:bodyDiv w:val="1"/>
      <w:marLeft w:val="0"/>
      <w:marRight w:val="0"/>
      <w:marTop w:val="0"/>
      <w:marBottom w:val="0"/>
      <w:divBdr>
        <w:top w:val="none" w:sz="0" w:space="0" w:color="auto"/>
        <w:left w:val="none" w:sz="0" w:space="0" w:color="auto"/>
        <w:bottom w:val="none" w:sz="0" w:space="0" w:color="auto"/>
        <w:right w:val="none" w:sz="0" w:space="0" w:color="auto"/>
      </w:divBdr>
    </w:div>
    <w:div w:id="1145468366">
      <w:bodyDiv w:val="1"/>
      <w:marLeft w:val="0"/>
      <w:marRight w:val="0"/>
      <w:marTop w:val="0"/>
      <w:marBottom w:val="0"/>
      <w:divBdr>
        <w:top w:val="none" w:sz="0" w:space="0" w:color="auto"/>
        <w:left w:val="none" w:sz="0" w:space="0" w:color="auto"/>
        <w:bottom w:val="none" w:sz="0" w:space="0" w:color="auto"/>
        <w:right w:val="none" w:sz="0" w:space="0" w:color="auto"/>
      </w:divBdr>
    </w:div>
    <w:div w:id="1170145618">
      <w:bodyDiv w:val="1"/>
      <w:marLeft w:val="0"/>
      <w:marRight w:val="0"/>
      <w:marTop w:val="0"/>
      <w:marBottom w:val="0"/>
      <w:divBdr>
        <w:top w:val="none" w:sz="0" w:space="0" w:color="auto"/>
        <w:left w:val="none" w:sz="0" w:space="0" w:color="auto"/>
        <w:bottom w:val="none" w:sz="0" w:space="0" w:color="auto"/>
        <w:right w:val="none" w:sz="0" w:space="0" w:color="auto"/>
      </w:divBdr>
    </w:div>
    <w:div w:id="1287617292">
      <w:bodyDiv w:val="1"/>
      <w:marLeft w:val="0"/>
      <w:marRight w:val="0"/>
      <w:marTop w:val="0"/>
      <w:marBottom w:val="0"/>
      <w:divBdr>
        <w:top w:val="none" w:sz="0" w:space="0" w:color="auto"/>
        <w:left w:val="none" w:sz="0" w:space="0" w:color="auto"/>
        <w:bottom w:val="none" w:sz="0" w:space="0" w:color="auto"/>
        <w:right w:val="none" w:sz="0" w:space="0" w:color="auto"/>
      </w:divBdr>
    </w:div>
    <w:div w:id="1378504706">
      <w:bodyDiv w:val="1"/>
      <w:marLeft w:val="0"/>
      <w:marRight w:val="0"/>
      <w:marTop w:val="0"/>
      <w:marBottom w:val="0"/>
      <w:divBdr>
        <w:top w:val="none" w:sz="0" w:space="0" w:color="auto"/>
        <w:left w:val="none" w:sz="0" w:space="0" w:color="auto"/>
        <w:bottom w:val="none" w:sz="0" w:space="0" w:color="auto"/>
        <w:right w:val="none" w:sz="0" w:space="0" w:color="auto"/>
      </w:divBdr>
      <w:divsChild>
        <w:div w:id="1610821014">
          <w:marLeft w:val="274"/>
          <w:marRight w:val="0"/>
          <w:marTop w:val="0"/>
          <w:marBottom w:val="0"/>
          <w:divBdr>
            <w:top w:val="none" w:sz="0" w:space="0" w:color="auto"/>
            <w:left w:val="none" w:sz="0" w:space="0" w:color="auto"/>
            <w:bottom w:val="none" w:sz="0" w:space="0" w:color="auto"/>
            <w:right w:val="none" w:sz="0" w:space="0" w:color="auto"/>
          </w:divBdr>
        </w:div>
        <w:div w:id="641925209">
          <w:marLeft w:val="274"/>
          <w:marRight w:val="0"/>
          <w:marTop w:val="0"/>
          <w:marBottom w:val="0"/>
          <w:divBdr>
            <w:top w:val="none" w:sz="0" w:space="0" w:color="auto"/>
            <w:left w:val="none" w:sz="0" w:space="0" w:color="auto"/>
            <w:bottom w:val="none" w:sz="0" w:space="0" w:color="auto"/>
            <w:right w:val="none" w:sz="0" w:space="0" w:color="auto"/>
          </w:divBdr>
        </w:div>
        <w:div w:id="282881950">
          <w:marLeft w:val="274"/>
          <w:marRight w:val="0"/>
          <w:marTop w:val="0"/>
          <w:marBottom w:val="0"/>
          <w:divBdr>
            <w:top w:val="none" w:sz="0" w:space="0" w:color="auto"/>
            <w:left w:val="none" w:sz="0" w:space="0" w:color="auto"/>
            <w:bottom w:val="none" w:sz="0" w:space="0" w:color="auto"/>
            <w:right w:val="none" w:sz="0" w:space="0" w:color="auto"/>
          </w:divBdr>
        </w:div>
        <w:div w:id="677465630">
          <w:marLeft w:val="274"/>
          <w:marRight w:val="0"/>
          <w:marTop w:val="0"/>
          <w:marBottom w:val="0"/>
          <w:divBdr>
            <w:top w:val="none" w:sz="0" w:space="0" w:color="auto"/>
            <w:left w:val="none" w:sz="0" w:space="0" w:color="auto"/>
            <w:bottom w:val="none" w:sz="0" w:space="0" w:color="auto"/>
            <w:right w:val="none" w:sz="0" w:space="0" w:color="auto"/>
          </w:divBdr>
        </w:div>
      </w:divsChild>
    </w:div>
    <w:div w:id="1451974735">
      <w:bodyDiv w:val="1"/>
      <w:marLeft w:val="0"/>
      <w:marRight w:val="0"/>
      <w:marTop w:val="0"/>
      <w:marBottom w:val="0"/>
      <w:divBdr>
        <w:top w:val="none" w:sz="0" w:space="0" w:color="auto"/>
        <w:left w:val="none" w:sz="0" w:space="0" w:color="auto"/>
        <w:bottom w:val="none" w:sz="0" w:space="0" w:color="auto"/>
        <w:right w:val="none" w:sz="0" w:space="0" w:color="auto"/>
      </w:divBdr>
    </w:div>
    <w:div w:id="1530336156">
      <w:bodyDiv w:val="1"/>
      <w:marLeft w:val="0"/>
      <w:marRight w:val="0"/>
      <w:marTop w:val="0"/>
      <w:marBottom w:val="0"/>
      <w:divBdr>
        <w:top w:val="none" w:sz="0" w:space="0" w:color="auto"/>
        <w:left w:val="none" w:sz="0" w:space="0" w:color="auto"/>
        <w:bottom w:val="none" w:sz="0" w:space="0" w:color="auto"/>
        <w:right w:val="none" w:sz="0" w:space="0" w:color="auto"/>
      </w:divBdr>
    </w:div>
    <w:div w:id="1788311882">
      <w:bodyDiv w:val="1"/>
      <w:marLeft w:val="0"/>
      <w:marRight w:val="0"/>
      <w:marTop w:val="0"/>
      <w:marBottom w:val="0"/>
      <w:divBdr>
        <w:top w:val="none" w:sz="0" w:space="0" w:color="auto"/>
        <w:left w:val="none" w:sz="0" w:space="0" w:color="auto"/>
        <w:bottom w:val="none" w:sz="0" w:space="0" w:color="auto"/>
        <w:right w:val="none" w:sz="0" w:space="0" w:color="auto"/>
      </w:divBdr>
      <w:divsChild>
        <w:div w:id="2028830137">
          <w:marLeft w:val="274"/>
          <w:marRight w:val="0"/>
          <w:marTop w:val="0"/>
          <w:marBottom w:val="0"/>
          <w:divBdr>
            <w:top w:val="none" w:sz="0" w:space="0" w:color="auto"/>
            <w:left w:val="none" w:sz="0" w:space="0" w:color="auto"/>
            <w:bottom w:val="none" w:sz="0" w:space="0" w:color="auto"/>
            <w:right w:val="none" w:sz="0" w:space="0" w:color="auto"/>
          </w:divBdr>
        </w:div>
        <w:div w:id="642665146">
          <w:marLeft w:val="274"/>
          <w:marRight w:val="0"/>
          <w:marTop w:val="0"/>
          <w:marBottom w:val="0"/>
          <w:divBdr>
            <w:top w:val="none" w:sz="0" w:space="0" w:color="auto"/>
            <w:left w:val="none" w:sz="0" w:space="0" w:color="auto"/>
            <w:bottom w:val="none" w:sz="0" w:space="0" w:color="auto"/>
            <w:right w:val="none" w:sz="0" w:space="0" w:color="auto"/>
          </w:divBdr>
        </w:div>
        <w:div w:id="2101443297">
          <w:marLeft w:val="274"/>
          <w:marRight w:val="0"/>
          <w:marTop w:val="0"/>
          <w:marBottom w:val="0"/>
          <w:divBdr>
            <w:top w:val="none" w:sz="0" w:space="0" w:color="auto"/>
            <w:left w:val="none" w:sz="0" w:space="0" w:color="auto"/>
            <w:bottom w:val="none" w:sz="0" w:space="0" w:color="auto"/>
            <w:right w:val="none" w:sz="0" w:space="0" w:color="auto"/>
          </w:divBdr>
        </w:div>
        <w:div w:id="709960939">
          <w:marLeft w:val="274"/>
          <w:marRight w:val="0"/>
          <w:marTop w:val="0"/>
          <w:marBottom w:val="0"/>
          <w:divBdr>
            <w:top w:val="none" w:sz="0" w:space="0" w:color="auto"/>
            <w:left w:val="none" w:sz="0" w:space="0" w:color="auto"/>
            <w:bottom w:val="none" w:sz="0" w:space="0" w:color="auto"/>
            <w:right w:val="none" w:sz="0" w:space="0" w:color="auto"/>
          </w:divBdr>
        </w:div>
      </w:divsChild>
    </w:div>
    <w:div w:id="2010137952">
      <w:bodyDiv w:val="1"/>
      <w:marLeft w:val="0"/>
      <w:marRight w:val="0"/>
      <w:marTop w:val="0"/>
      <w:marBottom w:val="0"/>
      <w:divBdr>
        <w:top w:val="none" w:sz="0" w:space="0" w:color="auto"/>
        <w:left w:val="none" w:sz="0" w:space="0" w:color="auto"/>
        <w:bottom w:val="none" w:sz="0" w:space="0" w:color="auto"/>
        <w:right w:val="none" w:sz="0" w:space="0" w:color="auto"/>
      </w:divBdr>
    </w:div>
    <w:div w:id="20134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nicaltrials.gov/ct2/results?term=vismodegib&amp;pg=2" TargetMode="External"/><Relationship Id="rId18" Type="http://schemas.openxmlformats.org/officeDocument/2006/relationships/hyperlink" Target="http://www.accessdata.fda.gov/drugsatfda_docs/nda/2012/203388Orig1s000MedRpdf.pdf"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vaww.national.cmop.va.gov/PBM/Directives%20Policies%20and%20Information%20Letters/Guidance%20on%20Off%20Label%20Prescribing.pdf"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GLI2"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en.wikipedia.org/wiki/GLI1" TargetMode="External"/><Relationship Id="rId19" Type="http://schemas.openxmlformats.org/officeDocument/2006/relationships/header" Target="header4.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en.wikipedia.org/wiki/Receptor_antagonist"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pbm.v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bm.v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b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20ED0BA549147B67B93624EC38BE2" ma:contentTypeVersion="1" ma:contentTypeDescription="Create a new document." ma:contentTypeScope="" ma:versionID="b11ac1f38211a3099184790f2c9a42aa">
  <xsd:schema xmlns:xsd="http://www.w3.org/2001/XMLSchema" xmlns:xs="http://www.w3.org/2001/XMLSchema" xmlns:p="http://schemas.microsoft.com/office/2006/metadata/properties" xmlns:ns1="http://schemas.microsoft.com/sharepoint/v3" targetNamespace="http://schemas.microsoft.com/office/2006/metadata/properties" ma:root="true" ma:fieldsID="341e375015c50f2ed44184d8d0dcf8ad"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fals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fals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0x0101007D220ED0BA549147B67B93624EC38BE2</ContentTypeId>
    <TemplateUrl xmlns="http://schemas.microsoft.com/sharepoint/v3" xsi:nil="true"/>
    <_SourceUrl xmlns="http://schemas.microsoft.com/sharepoint/v3" xsi:nil="true"/>
    <Created_x0020_Date xmlns="http://schemas.microsoft.com/sharepoint/v3" xsi:nil="true"/>
    <_HasCopyDestinations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A8EC41C3-AC9A-4756-A703-0D344AD68C41}"/>
</file>

<file path=customXml/itemProps2.xml><?xml version="1.0" encoding="utf-8"?>
<ds:datastoreItem xmlns:ds="http://schemas.openxmlformats.org/officeDocument/2006/customXml" ds:itemID="{413EBCA5-0F62-412C-A176-B2EAA3718EA8}"/>
</file>

<file path=customXml/itemProps3.xml><?xml version="1.0" encoding="utf-8"?>
<ds:datastoreItem xmlns:ds="http://schemas.openxmlformats.org/officeDocument/2006/customXml" ds:itemID="{9AAEB062-5CD8-4C5B-B1FE-A36CF4E796A6}"/>
</file>

<file path=customXml/itemProps4.xml><?xml version="1.0" encoding="utf-8"?>
<ds:datastoreItem xmlns:ds="http://schemas.openxmlformats.org/officeDocument/2006/customXml" ds:itemID="{80B1F87D-5D8E-42AE-B420-26BC411088BF}"/>
</file>

<file path=docProps/app.xml><?xml version="1.0" encoding="utf-8"?>
<Properties xmlns="http://schemas.openxmlformats.org/officeDocument/2006/extended-properties" xmlns:vt="http://schemas.openxmlformats.org/officeDocument/2006/docPropsVTypes">
  <Template>Normal</Template>
  <TotalTime>20</TotalTime>
  <Pages>16</Pages>
  <Words>6401</Words>
  <Characters>36490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VHA PBM SHG</Company>
  <LinksUpToDate>false</LinksUpToDate>
  <CharactersWithSpaces>42806</CharactersWithSpaces>
  <SharedDoc>false</SharedDoc>
  <HLinks>
    <vt:vector size="36" baseType="variant">
      <vt:variant>
        <vt:i4>1245274</vt:i4>
      </vt:variant>
      <vt:variant>
        <vt:i4>18</vt:i4>
      </vt:variant>
      <vt:variant>
        <vt:i4>0</vt:i4>
      </vt:variant>
      <vt:variant>
        <vt:i4>5</vt:i4>
      </vt:variant>
      <vt:variant>
        <vt:lpwstr>http://www.jointcommission.org/SentinelEvents/SentinelEventAlert/</vt:lpwstr>
      </vt:variant>
      <vt:variant>
        <vt:lpwstr/>
      </vt:variant>
      <vt:variant>
        <vt:i4>3801213</vt:i4>
      </vt:variant>
      <vt:variant>
        <vt:i4>3</vt:i4>
      </vt:variant>
      <vt:variant>
        <vt:i4>0</vt:i4>
      </vt:variant>
      <vt:variant>
        <vt:i4>5</vt:i4>
      </vt:variant>
      <vt:variant>
        <vt:lpwstr>http://vaww.national.cmop.va.gov/PBM/Directives Policies and Information Letters/Guidance on Off Label Prescribing.pdf</vt:lpwstr>
      </vt:variant>
      <vt:variant>
        <vt:lpwstr/>
      </vt:variant>
      <vt:variant>
        <vt:i4>3670069</vt:i4>
      </vt:variant>
      <vt:variant>
        <vt:i4>0</vt:i4>
      </vt:variant>
      <vt:variant>
        <vt:i4>0</vt:i4>
      </vt:variant>
      <vt:variant>
        <vt:i4>5</vt:i4>
      </vt:variant>
      <vt:variant>
        <vt:lpwstr>http://vaww.pbm.va.gov/</vt:lpwstr>
      </vt:variant>
      <vt:variant>
        <vt:lpwstr/>
      </vt:variant>
      <vt:variant>
        <vt:i4>3014764</vt:i4>
      </vt:variant>
      <vt:variant>
        <vt:i4>12</vt:i4>
      </vt:variant>
      <vt:variant>
        <vt:i4>0</vt:i4>
      </vt:variant>
      <vt:variant>
        <vt:i4>5</vt:i4>
      </vt:variant>
      <vt:variant>
        <vt:lpwstr>http://www.pbm.va.gov/</vt:lpwstr>
      </vt:variant>
      <vt:variant>
        <vt:lpwstr/>
      </vt:variant>
      <vt:variant>
        <vt:i4>3014764</vt:i4>
      </vt:variant>
      <vt:variant>
        <vt:i4>6</vt:i4>
      </vt:variant>
      <vt:variant>
        <vt:i4>0</vt:i4>
      </vt:variant>
      <vt:variant>
        <vt:i4>5</vt:i4>
      </vt:variant>
      <vt:variant>
        <vt:lpwstr>http://www.pbm.va.gov/</vt:lpwstr>
      </vt:variant>
      <vt:variant>
        <vt:lpwstr/>
      </vt:variant>
      <vt:variant>
        <vt:i4>3014764</vt:i4>
      </vt:variant>
      <vt:variant>
        <vt:i4>0</vt:i4>
      </vt:variant>
      <vt:variant>
        <vt:i4>0</vt:i4>
      </vt:variant>
      <vt:variant>
        <vt:i4>5</vt:i4>
      </vt:variant>
      <vt:variant>
        <vt:lpwstr>http://www.pbm.va.gov/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Vismodegib Drug Monograph</dc:title>
  <dc:creator>FG</dc:creator>
  <cp:lastModifiedBy>Geraci, Mark</cp:lastModifiedBy>
  <cp:revision>13</cp:revision>
  <cp:lastPrinted>2013-05-02T15:00:00Z</cp:lastPrinted>
  <dcterms:created xsi:type="dcterms:W3CDTF">2013-12-05T20:54:00Z</dcterms:created>
  <dcterms:modified xsi:type="dcterms:W3CDTF">2013-12-06T21:31:00Z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