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79" w:rsidRDefault="009E532E" w:rsidP="009E532E">
      <w:pPr>
        <w:pBdr>
          <w:top w:val="single" w:sz="4" w:space="0" w:color="auto"/>
          <w:bottom w:val="single" w:sz="4" w:space="1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Vitamins to Reduce the Risk of Progression in Age-Related Macular Degeneration </w:t>
      </w:r>
    </w:p>
    <w:p w:rsidR="009E532E" w:rsidRDefault="00861079" w:rsidP="009E532E">
      <w:pPr>
        <w:pBdr>
          <w:top w:val="single" w:sz="4" w:space="0" w:color="auto"/>
          <w:bottom w:val="single" w:sz="4" w:space="1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(Overview of AREDS2 Research Group Findings)</w:t>
      </w:r>
    </w:p>
    <w:p w:rsidR="009E532E" w:rsidRDefault="009E532E" w:rsidP="009E532E">
      <w:pPr>
        <w:pBdr>
          <w:top w:val="single" w:sz="4" w:space="0" w:color="auto"/>
          <w:bottom w:val="single" w:sz="4" w:space="1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December, 2013</w:t>
      </w:r>
    </w:p>
    <w:p w:rsidR="009E532E" w:rsidRDefault="009E532E" w:rsidP="009E532E">
      <w:pPr>
        <w:pBdr>
          <w:top w:val="single" w:sz="4" w:space="0" w:color="auto"/>
          <w:bottom w:val="single" w:sz="4" w:space="1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Pharmacy Benefits Management Services, Medical Advisory Panel, VISN Pharmacist Executives </w:t>
      </w:r>
    </w:p>
    <w:p w:rsidR="009E532E" w:rsidRDefault="009E532E" w:rsidP="009E532E">
      <w:pPr>
        <w:pBdr>
          <w:top w:val="single" w:sz="4" w:space="0" w:color="auto"/>
          <w:bottom w:val="single" w:sz="4" w:space="1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and</w:t>
      </w:r>
      <w:proofErr w:type="gramEnd"/>
      <w:r>
        <w:rPr>
          <w:rFonts w:ascii="Times New Roman" w:hAnsi="Times New Roman"/>
          <w:sz w:val="18"/>
          <w:szCs w:val="18"/>
        </w:rPr>
        <w:t xml:space="preserve"> Ophthalmology Field Advisory Committee </w:t>
      </w:r>
    </w:p>
    <w:p w:rsidR="009E532E" w:rsidRDefault="009E532E" w:rsidP="009E532E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3165C7" w:rsidRDefault="00861079">
      <w:r>
        <w:t xml:space="preserve">The AREDS2 Research Group designed a study to evaluate a few outstanding questions with regards to the use of vitamins in preventing the progression of age-related macular degeneration (ARMD).  The first question was to test whether adding antioxidants (lutein and </w:t>
      </w:r>
      <w:proofErr w:type="spellStart"/>
      <w:r>
        <w:t>zeaxanthin</w:t>
      </w:r>
      <w:proofErr w:type="spellEnd"/>
      <w:r>
        <w:t xml:space="preserve">), omega-3 fatty acids (DHA and EPA) or both antioxidants and omega-3 fatty acids might further reduce the progression to advanced ARMD compared to the original AREDS supplement.  </w:t>
      </w:r>
      <w:r w:rsidR="00612CFE">
        <w:t xml:space="preserve">The original AREDS supplement consisted of vitamin C 500mg, vitamin E 400 IU, beta carotene 15 mg, zinc oxide 80 mg and copper 2 mg. </w:t>
      </w:r>
      <w:r>
        <w:t>The second question was to test if eliminating beta carotene and reducing the zinc dose</w:t>
      </w:r>
      <w:r w:rsidR="00612CFE">
        <w:t xml:space="preserve"> made any impact on ARMD progression.</w:t>
      </w:r>
    </w:p>
    <w:p w:rsidR="004438B7" w:rsidRDefault="004438B7">
      <w:r>
        <w:t>A brief summary of the trial is</w:t>
      </w:r>
      <w:r w:rsidR="00DC46ED">
        <w:t xml:space="preserve"> provided.  For details, please refer to the actual trial referenced here.</w:t>
      </w:r>
    </w:p>
    <w:p w:rsidR="004438B7" w:rsidRDefault="004438B7">
      <w:r>
        <w:t xml:space="preserve">Adult patients (aged 50-85 years) at high risk of ARMD progression with either bilateral large </w:t>
      </w:r>
      <w:proofErr w:type="spellStart"/>
      <w:r>
        <w:t>drusen</w:t>
      </w:r>
      <w:proofErr w:type="spellEnd"/>
      <w:r>
        <w:t xml:space="preserve"> or large </w:t>
      </w:r>
      <w:proofErr w:type="spellStart"/>
      <w:r>
        <w:t>drusen</w:t>
      </w:r>
      <w:proofErr w:type="spellEnd"/>
      <w:r>
        <w:t xml:space="preserve"> in one eye plus advanced ARMD (</w:t>
      </w:r>
      <w:proofErr w:type="spellStart"/>
      <w:r>
        <w:t>neovascular</w:t>
      </w:r>
      <w:proofErr w:type="spellEnd"/>
      <w:r>
        <w:t xml:space="preserve"> or central geographic atrophy) in the other eye</w:t>
      </w:r>
      <w:r w:rsidR="00DC46ED">
        <w:t xml:space="preserve"> were included.</w:t>
      </w:r>
      <w:r w:rsidR="00C53E4E">
        <w:t xml:space="preserve">  Evaluations included annual eye exam including visual acuity assessment, and anatomic evaluations to assess for ARMD.  </w:t>
      </w:r>
      <w:r w:rsidR="000D2A20">
        <w:t xml:space="preserve">Adherence was assessed via pill count and blood was drawn to measure serum levels of lipids, lutein + </w:t>
      </w:r>
      <w:proofErr w:type="spellStart"/>
      <w:r w:rsidR="000D2A20">
        <w:t>zeaxanthin</w:t>
      </w:r>
      <w:proofErr w:type="spellEnd"/>
      <w:r w:rsidR="000D2A20">
        <w:t xml:space="preserve">, fat-soluble vitamins, zinc and copper at baseline and at 1, 3 and 5 years.  </w:t>
      </w:r>
      <w:r w:rsidR="00C53E4E">
        <w:t>Follow up visits were scheduled annually</w:t>
      </w:r>
      <w:r w:rsidR="0096600E">
        <w:t xml:space="preserve"> until November 2012 for a median of 5 years.</w:t>
      </w:r>
    </w:p>
    <w:p w:rsidR="00612CFE" w:rsidRDefault="00612CFE">
      <w:r>
        <w:t xml:space="preserve">In a phase III, multicenter, randomized </w:t>
      </w:r>
      <w:proofErr w:type="gramStart"/>
      <w:r>
        <w:t>fashion,</w:t>
      </w:r>
      <w:proofErr w:type="gramEnd"/>
      <w:r>
        <w:t xml:space="preserve"> patients were placed in either of the following primary randomization arms:</w:t>
      </w:r>
    </w:p>
    <w:p w:rsidR="00612CFE" w:rsidRDefault="00612CFE" w:rsidP="00612CFE">
      <w:pPr>
        <w:pStyle w:val="ListParagraph"/>
        <w:numPr>
          <w:ilvl w:val="0"/>
          <w:numId w:val="1"/>
        </w:numPr>
      </w:pPr>
      <w:r>
        <w:t>Placebo (AREDS supplement, no true placebo)</w:t>
      </w:r>
    </w:p>
    <w:p w:rsidR="00612CFE" w:rsidRDefault="00612CFE" w:rsidP="00612CFE">
      <w:pPr>
        <w:pStyle w:val="ListParagraph"/>
        <w:numPr>
          <w:ilvl w:val="0"/>
          <w:numId w:val="1"/>
        </w:numPr>
      </w:pPr>
      <w:r>
        <w:t xml:space="preserve">AREDS with Lutein 10 mg + </w:t>
      </w:r>
      <w:proofErr w:type="spellStart"/>
      <w:r>
        <w:t>zeaxanthin</w:t>
      </w:r>
      <w:proofErr w:type="spellEnd"/>
      <w:r>
        <w:t xml:space="preserve"> 2 mg</w:t>
      </w:r>
    </w:p>
    <w:p w:rsidR="00612CFE" w:rsidRDefault="00612CFE" w:rsidP="00612CFE">
      <w:pPr>
        <w:pStyle w:val="ListParagraph"/>
        <w:numPr>
          <w:ilvl w:val="0"/>
          <w:numId w:val="1"/>
        </w:numPr>
      </w:pPr>
      <w:r>
        <w:t>AREDS with DHA 350 mg + EPA 650 mg</w:t>
      </w:r>
    </w:p>
    <w:p w:rsidR="00612CFE" w:rsidRDefault="00612CFE" w:rsidP="00612CFE">
      <w:pPr>
        <w:pStyle w:val="ListParagraph"/>
        <w:numPr>
          <w:ilvl w:val="0"/>
          <w:numId w:val="1"/>
        </w:numPr>
      </w:pPr>
      <w:r>
        <w:t xml:space="preserve">AREDS with Lutein + </w:t>
      </w:r>
      <w:proofErr w:type="spellStart"/>
      <w:r>
        <w:t>zeaxanthin</w:t>
      </w:r>
      <w:proofErr w:type="spellEnd"/>
      <w:r>
        <w:t xml:space="preserve"> and DHA + EPA</w:t>
      </w:r>
    </w:p>
    <w:p w:rsidR="00612CFE" w:rsidRDefault="00612CFE" w:rsidP="00612CFE">
      <w:r>
        <w:t>Those consenting to participate in the secondary randomization</w:t>
      </w:r>
      <w:r w:rsidR="00B27BF4">
        <w:t>*</w:t>
      </w:r>
      <w:r>
        <w:t xml:space="preserve"> received one of the following formulations: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12CFE" w:rsidTr="00612CFE">
        <w:tc>
          <w:tcPr>
            <w:tcW w:w="1596" w:type="dxa"/>
          </w:tcPr>
          <w:p w:rsidR="00612CFE" w:rsidRDefault="00612CFE" w:rsidP="00612CFE">
            <w:r>
              <w:t>Formulations</w:t>
            </w:r>
          </w:p>
        </w:tc>
        <w:tc>
          <w:tcPr>
            <w:tcW w:w="1596" w:type="dxa"/>
          </w:tcPr>
          <w:p w:rsidR="00612CFE" w:rsidRDefault="00612CFE" w:rsidP="00612CFE">
            <w:proofErr w:type="spellStart"/>
            <w:r>
              <w:t>Vit</w:t>
            </w:r>
            <w:proofErr w:type="spellEnd"/>
            <w:r>
              <w:t xml:space="preserve"> C (mg)</w:t>
            </w:r>
          </w:p>
        </w:tc>
        <w:tc>
          <w:tcPr>
            <w:tcW w:w="1596" w:type="dxa"/>
          </w:tcPr>
          <w:p w:rsidR="00612CFE" w:rsidRDefault="00612CFE" w:rsidP="00612CFE">
            <w:proofErr w:type="spellStart"/>
            <w:r>
              <w:t>Vit</w:t>
            </w:r>
            <w:proofErr w:type="spellEnd"/>
            <w:r>
              <w:t xml:space="preserve"> E (IU)</w:t>
            </w:r>
          </w:p>
        </w:tc>
        <w:tc>
          <w:tcPr>
            <w:tcW w:w="1596" w:type="dxa"/>
          </w:tcPr>
          <w:p w:rsidR="00612CFE" w:rsidRDefault="00612CFE" w:rsidP="00612CFE">
            <w:r>
              <w:t>Beta carotene (mg)</w:t>
            </w:r>
          </w:p>
        </w:tc>
        <w:tc>
          <w:tcPr>
            <w:tcW w:w="1596" w:type="dxa"/>
          </w:tcPr>
          <w:p w:rsidR="00612CFE" w:rsidRDefault="00612CFE" w:rsidP="00612CFE">
            <w:r>
              <w:t>Zinc oxide (mg)</w:t>
            </w:r>
          </w:p>
        </w:tc>
        <w:tc>
          <w:tcPr>
            <w:tcW w:w="1596" w:type="dxa"/>
          </w:tcPr>
          <w:p w:rsidR="00612CFE" w:rsidRDefault="00612CFE" w:rsidP="00612CFE">
            <w:r>
              <w:t>Copper (mg)</w:t>
            </w:r>
          </w:p>
        </w:tc>
      </w:tr>
      <w:tr w:rsidR="00612CFE" w:rsidTr="00612CFE">
        <w:tc>
          <w:tcPr>
            <w:tcW w:w="1596" w:type="dxa"/>
          </w:tcPr>
          <w:p w:rsidR="00612CFE" w:rsidRDefault="00612CFE" w:rsidP="00612CFE">
            <w:r>
              <w:t>1</w:t>
            </w:r>
          </w:p>
        </w:tc>
        <w:tc>
          <w:tcPr>
            <w:tcW w:w="1596" w:type="dxa"/>
          </w:tcPr>
          <w:p w:rsidR="00612CFE" w:rsidRDefault="00612CFE" w:rsidP="00612CFE">
            <w:r>
              <w:t>500</w:t>
            </w:r>
          </w:p>
        </w:tc>
        <w:tc>
          <w:tcPr>
            <w:tcW w:w="1596" w:type="dxa"/>
          </w:tcPr>
          <w:p w:rsidR="00612CFE" w:rsidRDefault="00612CFE" w:rsidP="00612CFE">
            <w:r>
              <w:t>400</w:t>
            </w:r>
          </w:p>
        </w:tc>
        <w:tc>
          <w:tcPr>
            <w:tcW w:w="1596" w:type="dxa"/>
          </w:tcPr>
          <w:p w:rsidR="00612CFE" w:rsidRDefault="00612CFE" w:rsidP="00612CFE">
            <w:r>
              <w:t>15</w:t>
            </w:r>
          </w:p>
        </w:tc>
        <w:tc>
          <w:tcPr>
            <w:tcW w:w="1596" w:type="dxa"/>
          </w:tcPr>
          <w:p w:rsidR="00612CFE" w:rsidRDefault="00612CFE" w:rsidP="00612CFE">
            <w:r>
              <w:t>80</w:t>
            </w:r>
          </w:p>
        </w:tc>
        <w:tc>
          <w:tcPr>
            <w:tcW w:w="1596" w:type="dxa"/>
          </w:tcPr>
          <w:p w:rsidR="00612CFE" w:rsidRDefault="00612CFE" w:rsidP="00612CFE">
            <w:r>
              <w:t>2</w:t>
            </w:r>
          </w:p>
        </w:tc>
      </w:tr>
      <w:tr w:rsidR="00612CFE" w:rsidTr="00612CFE">
        <w:tc>
          <w:tcPr>
            <w:tcW w:w="1596" w:type="dxa"/>
          </w:tcPr>
          <w:p w:rsidR="00612CFE" w:rsidRDefault="00612CFE" w:rsidP="00612CFE">
            <w:r>
              <w:t>2</w:t>
            </w:r>
          </w:p>
        </w:tc>
        <w:tc>
          <w:tcPr>
            <w:tcW w:w="1596" w:type="dxa"/>
          </w:tcPr>
          <w:p w:rsidR="00612CFE" w:rsidRDefault="00612CFE" w:rsidP="00612CFE">
            <w:r>
              <w:t>500</w:t>
            </w:r>
          </w:p>
        </w:tc>
        <w:tc>
          <w:tcPr>
            <w:tcW w:w="1596" w:type="dxa"/>
          </w:tcPr>
          <w:p w:rsidR="00612CFE" w:rsidRDefault="00612CFE" w:rsidP="00612CFE">
            <w:r>
              <w:t>400</w:t>
            </w:r>
          </w:p>
        </w:tc>
        <w:tc>
          <w:tcPr>
            <w:tcW w:w="1596" w:type="dxa"/>
          </w:tcPr>
          <w:p w:rsidR="00612CFE" w:rsidRDefault="00612CFE" w:rsidP="00612CFE">
            <w:r>
              <w:t>0</w:t>
            </w:r>
          </w:p>
        </w:tc>
        <w:tc>
          <w:tcPr>
            <w:tcW w:w="1596" w:type="dxa"/>
          </w:tcPr>
          <w:p w:rsidR="00612CFE" w:rsidRDefault="00612CFE" w:rsidP="00612CFE">
            <w:r>
              <w:t>80</w:t>
            </w:r>
          </w:p>
        </w:tc>
        <w:tc>
          <w:tcPr>
            <w:tcW w:w="1596" w:type="dxa"/>
          </w:tcPr>
          <w:p w:rsidR="00612CFE" w:rsidRDefault="00612CFE" w:rsidP="00612CFE">
            <w:r>
              <w:t>2</w:t>
            </w:r>
          </w:p>
        </w:tc>
      </w:tr>
      <w:tr w:rsidR="00612CFE" w:rsidTr="00612CFE">
        <w:tc>
          <w:tcPr>
            <w:tcW w:w="1596" w:type="dxa"/>
          </w:tcPr>
          <w:p w:rsidR="00612CFE" w:rsidRDefault="00612CFE" w:rsidP="00612CFE">
            <w:r>
              <w:t>3</w:t>
            </w:r>
          </w:p>
        </w:tc>
        <w:tc>
          <w:tcPr>
            <w:tcW w:w="1596" w:type="dxa"/>
          </w:tcPr>
          <w:p w:rsidR="00612CFE" w:rsidRDefault="00612CFE" w:rsidP="00612CFE">
            <w:r>
              <w:t>500</w:t>
            </w:r>
          </w:p>
        </w:tc>
        <w:tc>
          <w:tcPr>
            <w:tcW w:w="1596" w:type="dxa"/>
          </w:tcPr>
          <w:p w:rsidR="00612CFE" w:rsidRDefault="00612CFE" w:rsidP="00612CFE">
            <w:r>
              <w:t>400</w:t>
            </w:r>
          </w:p>
        </w:tc>
        <w:tc>
          <w:tcPr>
            <w:tcW w:w="1596" w:type="dxa"/>
          </w:tcPr>
          <w:p w:rsidR="00612CFE" w:rsidRDefault="00612CFE" w:rsidP="00612CFE">
            <w:r>
              <w:t>15</w:t>
            </w:r>
          </w:p>
        </w:tc>
        <w:tc>
          <w:tcPr>
            <w:tcW w:w="1596" w:type="dxa"/>
          </w:tcPr>
          <w:p w:rsidR="00612CFE" w:rsidRDefault="00612CFE" w:rsidP="00612CFE">
            <w:r>
              <w:t>25</w:t>
            </w:r>
          </w:p>
        </w:tc>
        <w:tc>
          <w:tcPr>
            <w:tcW w:w="1596" w:type="dxa"/>
          </w:tcPr>
          <w:p w:rsidR="00612CFE" w:rsidRDefault="00612CFE" w:rsidP="00612CFE">
            <w:r>
              <w:t>2</w:t>
            </w:r>
          </w:p>
        </w:tc>
      </w:tr>
      <w:tr w:rsidR="00612CFE" w:rsidTr="00612CFE">
        <w:tc>
          <w:tcPr>
            <w:tcW w:w="1596" w:type="dxa"/>
          </w:tcPr>
          <w:p w:rsidR="00612CFE" w:rsidRDefault="00612CFE" w:rsidP="00612CFE">
            <w:r>
              <w:t>4</w:t>
            </w:r>
          </w:p>
        </w:tc>
        <w:tc>
          <w:tcPr>
            <w:tcW w:w="1596" w:type="dxa"/>
          </w:tcPr>
          <w:p w:rsidR="00612CFE" w:rsidRDefault="00612CFE" w:rsidP="00612CFE">
            <w:r>
              <w:t>500</w:t>
            </w:r>
          </w:p>
        </w:tc>
        <w:tc>
          <w:tcPr>
            <w:tcW w:w="1596" w:type="dxa"/>
          </w:tcPr>
          <w:p w:rsidR="00612CFE" w:rsidRDefault="00612CFE" w:rsidP="00612CFE">
            <w:r>
              <w:t>400</w:t>
            </w:r>
          </w:p>
        </w:tc>
        <w:tc>
          <w:tcPr>
            <w:tcW w:w="1596" w:type="dxa"/>
          </w:tcPr>
          <w:p w:rsidR="00612CFE" w:rsidRDefault="00612CFE" w:rsidP="00612CFE">
            <w:r>
              <w:t>0</w:t>
            </w:r>
          </w:p>
        </w:tc>
        <w:tc>
          <w:tcPr>
            <w:tcW w:w="1596" w:type="dxa"/>
          </w:tcPr>
          <w:p w:rsidR="00612CFE" w:rsidRDefault="00612CFE" w:rsidP="00612CFE">
            <w:r>
              <w:t>25</w:t>
            </w:r>
          </w:p>
        </w:tc>
        <w:tc>
          <w:tcPr>
            <w:tcW w:w="1596" w:type="dxa"/>
          </w:tcPr>
          <w:p w:rsidR="00612CFE" w:rsidRDefault="00612CFE" w:rsidP="00612CFE">
            <w:r>
              <w:t>2</w:t>
            </w:r>
          </w:p>
        </w:tc>
      </w:tr>
    </w:tbl>
    <w:p w:rsidR="00612CFE" w:rsidRDefault="00B27BF4" w:rsidP="00B27BF4">
      <w:r>
        <w:t>* Current or former smokers who stopped smoking within the year before enrollment were randomly assigned to Formulations # 2 or 4 (without beta carotene).</w:t>
      </w:r>
    </w:p>
    <w:p w:rsidR="00B27BF4" w:rsidRDefault="004438B7" w:rsidP="00B27BF4">
      <w:r>
        <w:lastRenderedPageBreak/>
        <w:t>The primary outcome was to compare 3 active treatment arms with placebo (AREDS vitamin) on progression to advanced ARMD.</w:t>
      </w:r>
      <w:r w:rsidR="00C53E4E">
        <w:t xml:space="preserve">  Multi</w:t>
      </w:r>
      <w:r w:rsidR="003C7749">
        <w:t>ple secondary outcomes were evaluated, but not all findings are reported here.  Please refer to the original study for further details.  Secondary outcomes included:</w:t>
      </w:r>
    </w:p>
    <w:p w:rsidR="00C53E4E" w:rsidRDefault="00C53E4E" w:rsidP="00C53E4E">
      <w:pPr>
        <w:pStyle w:val="ListParagraph"/>
        <w:numPr>
          <w:ilvl w:val="0"/>
          <w:numId w:val="3"/>
        </w:numPr>
      </w:pPr>
      <w:r>
        <w:t>Progression to moderate vision loss (</w:t>
      </w:r>
      <w:r>
        <w:rPr>
          <w:u w:val="single"/>
        </w:rPr>
        <w:t>&gt;</w:t>
      </w:r>
      <w:r>
        <w:t xml:space="preserve"> 15 letter los</w:t>
      </w:r>
      <w:r w:rsidR="00E648D5">
        <w:t>s</w:t>
      </w:r>
      <w:r>
        <w:t>)</w:t>
      </w:r>
    </w:p>
    <w:p w:rsidR="00C53E4E" w:rsidRDefault="00C53E4E" w:rsidP="00C53E4E">
      <w:pPr>
        <w:pStyle w:val="ListParagraph"/>
        <w:numPr>
          <w:ilvl w:val="0"/>
          <w:numId w:val="3"/>
        </w:numPr>
      </w:pPr>
      <w:r>
        <w:t>Progression of lens opacity based on photo or incidence of cataract surgery</w:t>
      </w:r>
    </w:p>
    <w:p w:rsidR="00C53E4E" w:rsidRDefault="00C53E4E" w:rsidP="00C53E4E">
      <w:pPr>
        <w:pStyle w:val="ListParagraph"/>
        <w:numPr>
          <w:ilvl w:val="0"/>
          <w:numId w:val="3"/>
        </w:numPr>
      </w:pPr>
      <w:r>
        <w:t>Moderate vision loss or improvement in participants with advanced ARMD</w:t>
      </w:r>
    </w:p>
    <w:p w:rsidR="00C53E4E" w:rsidRDefault="00C53E4E" w:rsidP="00C53E4E">
      <w:pPr>
        <w:pStyle w:val="ListParagraph"/>
        <w:numPr>
          <w:ilvl w:val="0"/>
          <w:numId w:val="3"/>
        </w:numPr>
      </w:pPr>
      <w:r>
        <w:t>Effect of eliminating beta carotene from original AREDS formulation on ARMD progression</w:t>
      </w:r>
    </w:p>
    <w:p w:rsidR="00C53E4E" w:rsidRDefault="00C53E4E" w:rsidP="00C53E4E">
      <w:pPr>
        <w:pStyle w:val="ListParagraph"/>
        <w:numPr>
          <w:ilvl w:val="0"/>
          <w:numId w:val="3"/>
        </w:numPr>
      </w:pPr>
      <w:r>
        <w:t>Effect of reducing zinc from 80 mg to 25 mg on ARMD progression</w:t>
      </w:r>
    </w:p>
    <w:p w:rsidR="00C53E4E" w:rsidRDefault="00C53E4E" w:rsidP="00C53E4E">
      <w:pPr>
        <w:pStyle w:val="ListParagraph"/>
        <w:numPr>
          <w:ilvl w:val="0"/>
          <w:numId w:val="3"/>
        </w:numPr>
      </w:pPr>
      <w:r>
        <w:t>Effect of eliminating beta carotene from original AREDS formulation on moderate vision loss</w:t>
      </w:r>
    </w:p>
    <w:p w:rsidR="00C53E4E" w:rsidRDefault="00C53E4E" w:rsidP="00C53E4E">
      <w:pPr>
        <w:pStyle w:val="ListParagraph"/>
        <w:numPr>
          <w:ilvl w:val="0"/>
          <w:numId w:val="3"/>
        </w:numPr>
      </w:pPr>
      <w:r>
        <w:t>Effect of reducing zinc in original AREDS formulation on moderate vision loss</w:t>
      </w:r>
    </w:p>
    <w:p w:rsidR="00C53E4E" w:rsidRDefault="0032218A" w:rsidP="00C53E4E">
      <w:r w:rsidRPr="00B75AE2">
        <w:t>Results:</w:t>
      </w:r>
      <w:r>
        <w:tab/>
      </w:r>
      <w:r w:rsidR="00E648D5">
        <w:t xml:space="preserve">A total of 4203 patients were randomized from 82 clinical sites (4188 included in primary randomization; 3036 included in secondary randomization).  The median follow up was 4.9 years (range, 4.3 – 5.1 </w:t>
      </w:r>
      <w:proofErr w:type="spellStart"/>
      <w:r w:rsidR="00E648D5">
        <w:t>yrs</w:t>
      </w:r>
      <w:proofErr w:type="spellEnd"/>
      <w:r w:rsidR="00E648D5">
        <w:t xml:space="preserve">).  Some baseline characteristics of the study population include: 97% Caucasian, 57% female; median age 74 years; 7% current smokers; 49% former smokers.  Lens characteristics include: 69% </w:t>
      </w:r>
      <w:proofErr w:type="spellStart"/>
      <w:r w:rsidR="00E648D5">
        <w:t>phakic</w:t>
      </w:r>
      <w:proofErr w:type="spellEnd"/>
      <w:r w:rsidR="00E648D5">
        <w:t xml:space="preserve">, both eyes; 6.7% </w:t>
      </w:r>
      <w:proofErr w:type="spellStart"/>
      <w:r w:rsidR="00E648D5">
        <w:t>pseudophakic</w:t>
      </w:r>
      <w:proofErr w:type="spellEnd"/>
      <w:r w:rsidR="00E648D5">
        <w:t>/</w:t>
      </w:r>
      <w:proofErr w:type="spellStart"/>
      <w:r w:rsidR="00E648D5">
        <w:t>aphakic</w:t>
      </w:r>
      <w:proofErr w:type="spellEnd"/>
      <w:r w:rsidR="00E648D5">
        <w:t xml:space="preserve"> in one eye; 25% </w:t>
      </w:r>
      <w:proofErr w:type="spellStart"/>
      <w:r w:rsidR="00E648D5">
        <w:t>pseudophakic</w:t>
      </w:r>
      <w:proofErr w:type="spellEnd"/>
      <w:r w:rsidR="00E648D5">
        <w:t>/</w:t>
      </w:r>
      <w:proofErr w:type="spellStart"/>
      <w:r w:rsidR="00E648D5">
        <w:t>aphakic</w:t>
      </w:r>
      <w:proofErr w:type="spellEnd"/>
      <w:r w:rsidR="00E648D5">
        <w:t xml:space="preserve"> in both eyes; 56% had </w:t>
      </w:r>
      <w:r w:rsidR="00E648D5">
        <w:rPr>
          <w:u w:val="single"/>
        </w:rPr>
        <w:t>&gt;</w:t>
      </w:r>
      <w:r w:rsidR="00E648D5">
        <w:t xml:space="preserve"> 1 eye without cortical opacity; 71% had </w:t>
      </w:r>
      <w:r w:rsidR="00E648D5">
        <w:rPr>
          <w:u w:val="single"/>
        </w:rPr>
        <w:t>&gt;</w:t>
      </w:r>
      <w:r w:rsidR="00E648D5">
        <w:t xml:space="preserve"> 1 eye without posterior </w:t>
      </w:r>
      <w:proofErr w:type="spellStart"/>
      <w:r w:rsidR="00E648D5">
        <w:t>subcapsular</w:t>
      </w:r>
      <w:proofErr w:type="spellEnd"/>
      <w:r w:rsidR="00E648D5">
        <w:t xml:space="preserve"> opacity.</w:t>
      </w:r>
    </w:p>
    <w:p w:rsidR="0032218A" w:rsidRDefault="007058E8" w:rsidP="00C53E4E">
      <w:r>
        <w:t>Efficacy r</w:t>
      </w:r>
      <w:r w:rsidR="0032218A">
        <w:t>esults of the primary randomization arms: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218A" w:rsidRPr="008F6A42" w:rsidTr="0032218A">
        <w:tc>
          <w:tcPr>
            <w:tcW w:w="3192" w:type="dxa"/>
          </w:tcPr>
          <w:p w:rsidR="0032218A" w:rsidRPr="008F6A42" w:rsidRDefault="0032218A" w:rsidP="00C53E4E">
            <w:pPr>
              <w:rPr>
                <w:b/>
                <w:sz w:val="18"/>
                <w:szCs w:val="18"/>
              </w:rPr>
            </w:pPr>
            <w:r w:rsidRPr="008F6A42">
              <w:rPr>
                <w:b/>
                <w:sz w:val="18"/>
                <w:szCs w:val="18"/>
              </w:rPr>
              <w:t>Arms</w:t>
            </w:r>
          </w:p>
        </w:tc>
        <w:tc>
          <w:tcPr>
            <w:tcW w:w="3192" w:type="dxa"/>
          </w:tcPr>
          <w:p w:rsidR="0032218A" w:rsidRPr="008F6A42" w:rsidRDefault="0032218A" w:rsidP="00C53E4E">
            <w:pPr>
              <w:rPr>
                <w:b/>
                <w:sz w:val="18"/>
                <w:szCs w:val="18"/>
              </w:rPr>
            </w:pPr>
            <w:r w:rsidRPr="008F6A42">
              <w:rPr>
                <w:b/>
                <w:sz w:val="18"/>
                <w:szCs w:val="18"/>
              </w:rPr>
              <w:t>Probability of progression to advanced ARMD</w:t>
            </w:r>
          </w:p>
        </w:tc>
        <w:tc>
          <w:tcPr>
            <w:tcW w:w="3192" w:type="dxa"/>
          </w:tcPr>
          <w:p w:rsidR="0032218A" w:rsidRPr="008F6A42" w:rsidRDefault="0032218A" w:rsidP="00C53E4E">
            <w:pPr>
              <w:rPr>
                <w:b/>
                <w:sz w:val="18"/>
                <w:szCs w:val="18"/>
              </w:rPr>
            </w:pPr>
            <w:r w:rsidRPr="008F6A42">
              <w:rPr>
                <w:b/>
                <w:sz w:val="18"/>
                <w:szCs w:val="18"/>
              </w:rPr>
              <w:t>Comparison to placebo (AREDS vitamin formulation)</w:t>
            </w:r>
          </w:p>
        </w:tc>
      </w:tr>
      <w:tr w:rsidR="0032218A" w:rsidRPr="008F6A42" w:rsidTr="0032218A">
        <w:tc>
          <w:tcPr>
            <w:tcW w:w="3192" w:type="dxa"/>
          </w:tcPr>
          <w:p w:rsidR="0032218A" w:rsidRPr="008F6A42" w:rsidRDefault="0032218A" w:rsidP="00C53E4E">
            <w:pPr>
              <w:rPr>
                <w:sz w:val="18"/>
                <w:szCs w:val="18"/>
              </w:rPr>
            </w:pPr>
            <w:r w:rsidRPr="008F6A42">
              <w:rPr>
                <w:sz w:val="18"/>
                <w:szCs w:val="18"/>
              </w:rPr>
              <w:t>Placebo (AREDS supplement, no true placebo)</w:t>
            </w:r>
          </w:p>
        </w:tc>
        <w:tc>
          <w:tcPr>
            <w:tcW w:w="3192" w:type="dxa"/>
          </w:tcPr>
          <w:p w:rsidR="0032218A" w:rsidRPr="008F6A42" w:rsidRDefault="0032218A" w:rsidP="00C53E4E">
            <w:pPr>
              <w:rPr>
                <w:sz w:val="18"/>
                <w:szCs w:val="18"/>
              </w:rPr>
            </w:pPr>
            <w:r w:rsidRPr="008F6A42">
              <w:rPr>
                <w:sz w:val="18"/>
                <w:szCs w:val="18"/>
              </w:rPr>
              <w:t>31% (493 eyes [399 subjects])</w:t>
            </w:r>
          </w:p>
        </w:tc>
        <w:tc>
          <w:tcPr>
            <w:tcW w:w="3192" w:type="dxa"/>
          </w:tcPr>
          <w:p w:rsidR="0032218A" w:rsidRPr="008F6A42" w:rsidRDefault="0032218A" w:rsidP="00C53E4E">
            <w:pPr>
              <w:rPr>
                <w:sz w:val="18"/>
                <w:szCs w:val="18"/>
              </w:rPr>
            </w:pPr>
            <w:r w:rsidRPr="008F6A42">
              <w:rPr>
                <w:sz w:val="18"/>
                <w:szCs w:val="18"/>
              </w:rPr>
              <w:t>***</w:t>
            </w:r>
          </w:p>
        </w:tc>
      </w:tr>
      <w:tr w:rsidR="0032218A" w:rsidRPr="008F6A42" w:rsidTr="0032218A">
        <w:tc>
          <w:tcPr>
            <w:tcW w:w="3192" w:type="dxa"/>
          </w:tcPr>
          <w:p w:rsidR="0032218A" w:rsidRDefault="0032218A" w:rsidP="00C53E4E">
            <w:pPr>
              <w:rPr>
                <w:sz w:val="18"/>
                <w:szCs w:val="18"/>
              </w:rPr>
            </w:pPr>
            <w:r w:rsidRPr="008F6A42">
              <w:rPr>
                <w:sz w:val="18"/>
                <w:szCs w:val="18"/>
              </w:rPr>
              <w:t xml:space="preserve">Lutein / </w:t>
            </w:r>
            <w:proofErr w:type="spellStart"/>
            <w:r w:rsidRPr="008F6A42">
              <w:rPr>
                <w:sz w:val="18"/>
                <w:szCs w:val="18"/>
              </w:rPr>
              <w:t>zeaxanthin</w:t>
            </w:r>
            <w:proofErr w:type="spellEnd"/>
            <w:r w:rsidRPr="008F6A42">
              <w:rPr>
                <w:sz w:val="18"/>
                <w:szCs w:val="18"/>
              </w:rPr>
              <w:t xml:space="preserve"> (10 mg/ 2 mg)</w:t>
            </w:r>
          </w:p>
          <w:p w:rsidR="008F6A42" w:rsidRPr="008F6A42" w:rsidRDefault="008F6A42" w:rsidP="00C53E4E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32218A" w:rsidRPr="008F6A42" w:rsidRDefault="0032218A" w:rsidP="00C53E4E">
            <w:pPr>
              <w:rPr>
                <w:sz w:val="18"/>
                <w:szCs w:val="18"/>
              </w:rPr>
            </w:pPr>
            <w:r w:rsidRPr="008F6A42">
              <w:rPr>
                <w:sz w:val="18"/>
                <w:szCs w:val="18"/>
              </w:rPr>
              <w:t>29% (468 eyes [399 subjects])</w:t>
            </w:r>
          </w:p>
        </w:tc>
        <w:tc>
          <w:tcPr>
            <w:tcW w:w="3192" w:type="dxa"/>
          </w:tcPr>
          <w:p w:rsidR="0032218A" w:rsidRPr="008F6A42" w:rsidRDefault="0032218A" w:rsidP="00C53E4E">
            <w:pPr>
              <w:rPr>
                <w:sz w:val="18"/>
                <w:szCs w:val="18"/>
              </w:rPr>
            </w:pPr>
            <w:r w:rsidRPr="008F6A42">
              <w:rPr>
                <w:sz w:val="18"/>
                <w:szCs w:val="18"/>
              </w:rPr>
              <w:t>HR 0.90 [98.7% CI, 0.76-1.07]; p=0.12</w:t>
            </w:r>
          </w:p>
        </w:tc>
      </w:tr>
      <w:tr w:rsidR="0032218A" w:rsidRPr="008F6A42" w:rsidTr="0032218A">
        <w:tc>
          <w:tcPr>
            <w:tcW w:w="3192" w:type="dxa"/>
          </w:tcPr>
          <w:p w:rsidR="0032218A" w:rsidRDefault="0032218A" w:rsidP="00C53E4E">
            <w:pPr>
              <w:rPr>
                <w:sz w:val="18"/>
                <w:szCs w:val="18"/>
              </w:rPr>
            </w:pPr>
            <w:r w:rsidRPr="008F6A42">
              <w:rPr>
                <w:sz w:val="18"/>
                <w:szCs w:val="18"/>
              </w:rPr>
              <w:t>DHA plus EPA (350 mg/ 650 mg)</w:t>
            </w:r>
          </w:p>
          <w:p w:rsidR="008F6A42" w:rsidRPr="008F6A42" w:rsidRDefault="008F6A42" w:rsidP="00C53E4E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32218A" w:rsidRPr="008F6A42" w:rsidRDefault="0032218A" w:rsidP="00C53E4E">
            <w:pPr>
              <w:rPr>
                <w:sz w:val="18"/>
                <w:szCs w:val="18"/>
              </w:rPr>
            </w:pPr>
            <w:r w:rsidRPr="008F6A42">
              <w:rPr>
                <w:sz w:val="18"/>
                <w:szCs w:val="18"/>
              </w:rPr>
              <w:t>31% (507 eyes [416 subjects])</w:t>
            </w:r>
          </w:p>
        </w:tc>
        <w:tc>
          <w:tcPr>
            <w:tcW w:w="3192" w:type="dxa"/>
          </w:tcPr>
          <w:p w:rsidR="0032218A" w:rsidRPr="008F6A42" w:rsidRDefault="0032218A" w:rsidP="00C53E4E">
            <w:pPr>
              <w:rPr>
                <w:sz w:val="18"/>
                <w:szCs w:val="18"/>
              </w:rPr>
            </w:pPr>
            <w:r w:rsidRPr="008F6A42">
              <w:rPr>
                <w:sz w:val="18"/>
                <w:szCs w:val="18"/>
              </w:rPr>
              <w:t>HR 0.97 [98.7% CI, 0.82-1.16]; p=0.70</w:t>
            </w:r>
          </w:p>
        </w:tc>
      </w:tr>
      <w:tr w:rsidR="0032218A" w:rsidRPr="008F6A42" w:rsidTr="0032218A">
        <w:tc>
          <w:tcPr>
            <w:tcW w:w="3192" w:type="dxa"/>
          </w:tcPr>
          <w:p w:rsidR="0032218A" w:rsidRDefault="0032218A" w:rsidP="00C53E4E">
            <w:pPr>
              <w:rPr>
                <w:sz w:val="18"/>
                <w:szCs w:val="18"/>
              </w:rPr>
            </w:pPr>
            <w:r w:rsidRPr="008F6A42">
              <w:rPr>
                <w:sz w:val="18"/>
                <w:szCs w:val="18"/>
              </w:rPr>
              <w:t>Lutein /</w:t>
            </w:r>
            <w:proofErr w:type="spellStart"/>
            <w:r w:rsidRPr="008F6A42">
              <w:rPr>
                <w:sz w:val="18"/>
                <w:szCs w:val="18"/>
              </w:rPr>
              <w:t>zeaxanthin</w:t>
            </w:r>
            <w:proofErr w:type="spellEnd"/>
            <w:r w:rsidRPr="008F6A42">
              <w:rPr>
                <w:sz w:val="18"/>
                <w:szCs w:val="18"/>
              </w:rPr>
              <w:t xml:space="preserve"> and DHA plus EPA</w:t>
            </w:r>
          </w:p>
          <w:p w:rsidR="008F6A42" w:rsidRPr="008F6A42" w:rsidRDefault="008F6A42" w:rsidP="00C53E4E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32218A" w:rsidRPr="008F6A42" w:rsidRDefault="0032218A" w:rsidP="00C53E4E">
            <w:pPr>
              <w:rPr>
                <w:sz w:val="18"/>
                <w:szCs w:val="18"/>
              </w:rPr>
            </w:pPr>
            <w:r w:rsidRPr="008F6A42">
              <w:rPr>
                <w:sz w:val="18"/>
                <w:szCs w:val="18"/>
              </w:rPr>
              <w:t>30% (472 eyes [387 subjects])</w:t>
            </w:r>
          </w:p>
        </w:tc>
        <w:tc>
          <w:tcPr>
            <w:tcW w:w="3192" w:type="dxa"/>
          </w:tcPr>
          <w:p w:rsidR="0032218A" w:rsidRPr="008F6A42" w:rsidRDefault="0032218A" w:rsidP="00C53E4E">
            <w:pPr>
              <w:rPr>
                <w:sz w:val="18"/>
                <w:szCs w:val="18"/>
              </w:rPr>
            </w:pPr>
            <w:r w:rsidRPr="008F6A42">
              <w:rPr>
                <w:sz w:val="18"/>
                <w:szCs w:val="18"/>
              </w:rPr>
              <w:t>HR 0.89 [98.7% CI, 0.75-1.06]; p=0.10</w:t>
            </w:r>
          </w:p>
        </w:tc>
      </w:tr>
    </w:tbl>
    <w:p w:rsidR="007058E8" w:rsidRDefault="007058E8" w:rsidP="00C53E4E"/>
    <w:p w:rsidR="0032218A" w:rsidRDefault="007058E8" w:rsidP="00C53E4E">
      <w:r>
        <w:t>Efficacy r</w:t>
      </w:r>
      <w:r w:rsidR="0032218A">
        <w:t>esults of the secondary randomization arms: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170"/>
        <w:gridCol w:w="1170"/>
        <w:gridCol w:w="1170"/>
        <w:gridCol w:w="1170"/>
        <w:gridCol w:w="1170"/>
        <w:gridCol w:w="2358"/>
      </w:tblGrid>
      <w:tr w:rsidR="0032218A" w:rsidRPr="0032218A" w:rsidTr="008F6A42">
        <w:tc>
          <w:tcPr>
            <w:tcW w:w="1368" w:type="dxa"/>
          </w:tcPr>
          <w:p w:rsidR="0032218A" w:rsidRPr="008F6A42" w:rsidRDefault="0032218A" w:rsidP="00C53E4E">
            <w:pPr>
              <w:rPr>
                <w:b/>
                <w:sz w:val="18"/>
                <w:szCs w:val="18"/>
              </w:rPr>
            </w:pPr>
            <w:r w:rsidRPr="008F6A42">
              <w:rPr>
                <w:b/>
                <w:sz w:val="18"/>
                <w:szCs w:val="18"/>
              </w:rPr>
              <w:t>Formulations</w:t>
            </w:r>
          </w:p>
        </w:tc>
        <w:tc>
          <w:tcPr>
            <w:tcW w:w="1170" w:type="dxa"/>
          </w:tcPr>
          <w:p w:rsidR="0032218A" w:rsidRPr="008F6A42" w:rsidRDefault="0032218A" w:rsidP="00C53E4E">
            <w:pPr>
              <w:rPr>
                <w:b/>
                <w:sz w:val="18"/>
                <w:szCs w:val="18"/>
              </w:rPr>
            </w:pPr>
            <w:proofErr w:type="spellStart"/>
            <w:r w:rsidRPr="008F6A42">
              <w:rPr>
                <w:b/>
                <w:sz w:val="18"/>
                <w:szCs w:val="18"/>
              </w:rPr>
              <w:t>Vit</w:t>
            </w:r>
            <w:proofErr w:type="spellEnd"/>
            <w:r w:rsidRPr="008F6A42">
              <w:rPr>
                <w:b/>
                <w:sz w:val="18"/>
                <w:szCs w:val="18"/>
              </w:rPr>
              <w:t xml:space="preserve"> C (mg)</w:t>
            </w:r>
          </w:p>
        </w:tc>
        <w:tc>
          <w:tcPr>
            <w:tcW w:w="1170" w:type="dxa"/>
          </w:tcPr>
          <w:p w:rsidR="0032218A" w:rsidRPr="008F6A42" w:rsidRDefault="0032218A" w:rsidP="00C53E4E">
            <w:pPr>
              <w:rPr>
                <w:b/>
                <w:sz w:val="18"/>
                <w:szCs w:val="18"/>
              </w:rPr>
            </w:pPr>
            <w:proofErr w:type="spellStart"/>
            <w:r w:rsidRPr="008F6A42">
              <w:rPr>
                <w:b/>
                <w:sz w:val="18"/>
                <w:szCs w:val="18"/>
              </w:rPr>
              <w:t>Vit</w:t>
            </w:r>
            <w:proofErr w:type="spellEnd"/>
            <w:r w:rsidRPr="008F6A42">
              <w:rPr>
                <w:b/>
                <w:sz w:val="18"/>
                <w:szCs w:val="18"/>
              </w:rPr>
              <w:t xml:space="preserve"> E (IU)</w:t>
            </w:r>
          </w:p>
        </w:tc>
        <w:tc>
          <w:tcPr>
            <w:tcW w:w="1170" w:type="dxa"/>
          </w:tcPr>
          <w:p w:rsidR="0032218A" w:rsidRPr="008F6A42" w:rsidRDefault="0032218A" w:rsidP="00C53E4E">
            <w:pPr>
              <w:rPr>
                <w:b/>
                <w:sz w:val="18"/>
                <w:szCs w:val="18"/>
              </w:rPr>
            </w:pPr>
            <w:r w:rsidRPr="008F6A42">
              <w:rPr>
                <w:b/>
                <w:sz w:val="18"/>
                <w:szCs w:val="18"/>
              </w:rPr>
              <w:t>Beta carotene (mg)</w:t>
            </w:r>
          </w:p>
        </w:tc>
        <w:tc>
          <w:tcPr>
            <w:tcW w:w="1170" w:type="dxa"/>
          </w:tcPr>
          <w:p w:rsidR="0032218A" w:rsidRPr="008F6A42" w:rsidRDefault="0032218A" w:rsidP="00C53E4E">
            <w:pPr>
              <w:rPr>
                <w:b/>
                <w:sz w:val="18"/>
                <w:szCs w:val="18"/>
              </w:rPr>
            </w:pPr>
            <w:r w:rsidRPr="008F6A42">
              <w:rPr>
                <w:b/>
                <w:sz w:val="18"/>
                <w:szCs w:val="18"/>
              </w:rPr>
              <w:t>Zinc oxide (mg)</w:t>
            </w:r>
          </w:p>
        </w:tc>
        <w:tc>
          <w:tcPr>
            <w:tcW w:w="1170" w:type="dxa"/>
          </w:tcPr>
          <w:p w:rsidR="0032218A" w:rsidRPr="008F6A42" w:rsidRDefault="0032218A" w:rsidP="00C53E4E">
            <w:pPr>
              <w:rPr>
                <w:b/>
                <w:sz w:val="18"/>
                <w:szCs w:val="18"/>
              </w:rPr>
            </w:pPr>
            <w:r w:rsidRPr="008F6A42">
              <w:rPr>
                <w:b/>
                <w:sz w:val="18"/>
                <w:szCs w:val="18"/>
              </w:rPr>
              <w:t>Copper (mg)</w:t>
            </w:r>
          </w:p>
        </w:tc>
        <w:tc>
          <w:tcPr>
            <w:tcW w:w="2358" w:type="dxa"/>
          </w:tcPr>
          <w:p w:rsidR="0032218A" w:rsidRPr="008F6A42" w:rsidRDefault="0032218A" w:rsidP="00C53E4E">
            <w:pPr>
              <w:rPr>
                <w:b/>
                <w:sz w:val="18"/>
                <w:szCs w:val="18"/>
              </w:rPr>
            </w:pPr>
            <w:r w:rsidRPr="008F6A42">
              <w:rPr>
                <w:b/>
                <w:sz w:val="18"/>
                <w:szCs w:val="18"/>
              </w:rPr>
              <w:t>HR [95% CI]; p value</w:t>
            </w:r>
          </w:p>
        </w:tc>
      </w:tr>
      <w:tr w:rsidR="0032218A" w:rsidRPr="0032218A" w:rsidTr="008F6A42">
        <w:tc>
          <w:tcPr>
            <w:tcW w:w="1368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500</w:t>
            </w:r>
          </w:p>
        </w:tc>
        <w:tc>
          <w:tcPr>
            <w:tcW w:w="1170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400</w:t>
            </w:r>
          </w:p>
        </w:tc>
        <w:tc>
          <w:tcPr>
            <w:tcW w:w="1170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15</w:t>
            </w:r>
          </w:p>
        </w:tc>
        <w:tc>
          <w:tcPr>
            <w:tcW w:w="1170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80</w:t>
            </w:r>
          </w:p>
        </w:tc>
        <w:tc>
          <w:tcPr>
            <w:tcW w:w="1170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2</w:t>
            </w:r>
          </w:p>
        </w:tc>
        <w:tc>
          <w:tcPr>
            <w:tcW w:w="2358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***</w:t>
            </w:r>
          </w:p>
        </w:tc>
      </w:tr>
      <w:tr w:rsidR="0032218A" w:rsidRPr="0032218A" w:rsidTr="008F6A42">
        <w:tc>
          <w:tcPr>
            <w:tcW w:w="1368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500</w:t>
            </w:r>
          </w:p>
        </w:tc>
        <w:tc>
          <w:tcPr>
            <w:tcW w:w="1170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400</w:t>
            </w:r>
          </w:p>
        </w:tc>
        <w:tc>
          <w:tcPr>
            <w:tcW w:w="1170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80</w:t>
            </w:r>
          </w:p>
        </w:tc>
        <w:tc>
          <w:tcPr>
            <w:tcW w:w="1170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2</w:t>
            </w:r>
          </w:p>
        </w:tc>
        <w:tc>
          <w:tcPr>
            <w:tcW w:w="2358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***</w:t>
            </w:r>
          </w:p>
        </w:tc>
      </w:tr>
      <w:tr w:rsidR="0032218A" w:rsidRPr="0032218A" w:rsidTr="008F6A42">
        <w:tc>
          <w:tcPr>
            <w:tcW w:w="1368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500</w:t>
            </w:r>
          </w:p>
        </w:tc>
        <w:tc>
          <w:tcPr>
            <w:tcW w:w="1170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400</w:t>
            </w:r>
          </w:p>
        </w:tc>
        <w:tc>
          <w:tcPr>
            <w:tcW w:w="1170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15</w:t>
            </w:r>
          </w:p>
        </w:tc>
        <w:tc>
          <w:tcPr>
            <w:tcW w:w="1170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25</w:t>
            </w:r>
          </w:p>
        </w:tc>
        <w:tc>
          <w:tcPr>
            <w:tcW w:w="1170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2</w:t>
            </w:r>
          </w:p>
        </w:tc>
        <w:tc>
          <w:tcPr>
            <w:tcW w:w="2358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1.06 [0.95-1.19]; P=0.32</w:t>
            </w:r>
          </w:p>
        </w:tc>
      </w:tr>
      <w:tr w:rsidR="0032218A" w:rsidRPr="0032218A" w:rsidTr="008F6A42">
        <w:tc>
          <w:tcPr>
            <w:tcW w:w="1368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500</w:t>
            </w:r>
          </w:p>
        </w:tc>
        <w:tc>
          <w:tcPr>
            <w:tcW w:w="1170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400</w:t>
            </w:r>
          </w:p>
        </w:tc>
        <w:tc>
          <w:tcPr>
            <w:tcW w:w="1170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25</w:t>
            </w:r>
          </w:p>
        </w:tc>
        <w:tc>
          <w:tcPr>
            <w:tcW w:w="1170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2</w:t>
            </w:r>
          </w:p>
        </w:tc>
        <w:tc>
          <w:tcPr>
            <w:tcW w:w="2358" w:type="dxa"/>
          </w:tcPr>
          <w:p w:rsidR="0032218A" w:rsidRPr="0032218A" w:rsidRDefault="0032218A" w:rsidP="00C53E4E">
            <w:pPr>
              <w:rPr>
                <w:sz w:val="18"/>
                <w:szCs w:val="18"/>
              </w:rPr>
            </w:pPr>
            <w:r w:rsidRPr="0032218A">
              <w:rPr>
                <w:sz w:val="18"/>
                <w:szCs w:val="18"/>
              </w:rPr>
              <w:t>1.07 [0.94-1.20]; P=0.31</w:t>
            </w:r>
          </w:p>
        </w:tc>
      </w:tr>
    </w:tbl>
    <w:p w:rsidR="0032218A" w:rsidRDefault="0032218A" w:rsidP="00C53E4E"/>
    <w:p w:rsidR="00B05C5C" w:rsidRDefault="00B05C5C" w:rsidP="00C53E4E">
      <w:r>
        <w:t xml:space="preserve">A subgroup analysis was performed to determine if supplemental lutein + </w:t>
      </w:r>
      <w:proofErr w:type="spellStart"/>
      <w:r>
        <w:t>zeaxanthin</w:t>
      </w:r>
      <w:proofErr w:type="spellEnd"/>
      <w:r>
        <w:t xml:space="preserve"> vs. no supplemental lutein + </w:t>
      </w:r>
      <w:proofErr w:type="spellStart"/>
      <w:r>
        <w:t>zeaxanthin</w:t>
      </w:r>
      <w:proofErr w:type="spellEnd"/>
      <w:r>
        <w:t xml:space="preserve"> given to patients with various levels of dietary intake of lutein + </w:t>
      </w:r>
      <w:proofErr w:type="spellStart"/>
      <w:r>
        <w:t>zeaxanthin</w:t>
      </w:r>
      <w:proofErr w:type="spellEnd"/>
      <w:r>
        <w:t xml:space="preserve"> could impact ARMD progression.  The findings indicate that patients in the group with the lowest dietary intake benefited most from the addition of these antioxidants [HR 0.74(95% CI, 0.59-0.94); p=0.01].</w:t>
      </w:r>
      <w:bookmarkStart w:id="0" w:name="_GoBack"/>
      <w:bookmarkEnd w:id="0"/>
    </w:p>
    <w:p w:rsidR="007058E8" w:rsidRDefault="007058E8" w:rsidP="00C53E4E">
      <w:r>
        <w:lastRenderedPageBreak/>
        <w:t>Points with regard to safety results:</w:t>
      </w:r>
    </w:p>
    <w:p w:rsidR="007058E8" w:rsidRDefault="007058E8" w:rsidP="007058E8">
      <w:pPr>
        <w:pStyle w:val="ListParagraph"/>
        <w:numPr>
          <w:ilvl w:val="0"/>
          <w:numId w:val="4"/>
        </w:numPr>
      </w:pPr>
      <w:r>
        <w:t>There were no differences in serious adverse events across groups in the primary randomization</w:t>
      </w:r>
    </w:p>
    <w:p w:rsidR="007058E8" w:rsidRDefault="007058E8" w:rsidP="007058E8">
      <w:pPr>
        <w:pStyle w:val="ListParagraph"/>
        <w:numPr>
          <w:ilvl w:val="0"/>
          <w:numId w:val="4"/>
        </w:numPr>
      </w:pPr>
      <w:r>
        <w:t>Secondary randomization noted more lung cancers in the beta carotene group [23 (2%) vs. 11 (0.9%); nominal P=0.04].  Thirty-one (91%) who developed lung cancers were former smokers.</w:t>
      </w:r>
      <w:r w:rsidR="003C7749">
        <w:t xml:space="preserve">  Former smokers were defined as those not smoking for 1 year or greater.</w:t>
      </w:r>
    </w:p>
    <w:p w:rsidR="007058E8" w:rsidRDefault="007058E8" w:rsidP="007058E8">
      <w:pPr>
        <w:pStyle w:val="ListParagraph"/>
        <w:numPr>
          <w:ilvl w:val="0"/>
          <w:numId w:val="4"/>
        </w:numPr>
      </w:pPr>
      <w:r>
        <w:t>Dietary supplementation had no statistically significant effect on mortality</w:t>
      </w:r>
    </w:p>
    <w:p w:rsidR="007058E8" w:rsidRDefault="007058E8" w:rsidP="007058E8">
      <w:pPr>
        <w:pStyle w:val="ListParagraph"/>
        <w:numPr>
          <w:ilvl w:val="0"/>
          <w:numId w:val="4"/>
        </w:numPr>
      </w:pPr>
      <w:r>
        <w:t>No differences for low-dose vs. high-dose zinc effect</w:t>
      </w:r>
    </w:p>
    <w:p w:rsidR="007058E8" w:rsidRDefault="007058E8" w:rsidP="007058E8">
      <w:pPr>
        <w:pStyle w:val="ListParagraph"/>
        <w:numPr>
          <w:ilvl w:val="0"/>
          <w:numId w:val="4"/>
        </w:numPr>
      </w:pPr>
      <w:r>
        <w:t>No differences for beta carotene vs. no beta carotene effect</w:t>
      </w:r>
    </w:p>
    <w:p w:rsidR="007058E8" w:rsidRDefault="007058E8" w:rsidP="007058E8">
      <w:r>
        <w:t>So, some basic points for the overall conclusion of this trial can be made:</w:t>
      </w:r>
    </w:p>
    <w:p w:rsidR="007058E8" w:rsidRDefault="003C7749" w:rsidP="007058E8">
      <w:pPr>
        <w:pStyle w:val="ListParagraph"/>
        <w:numPr>
          <w:ilvl w:val="0"/>
          <w:numId w:val="8"/>
        </w:numPr>
      </w:pPr>
      <w:r>
        <w:t xml:space="preserve">In patients at high risk for progression to advanced ARMD, daily supplement of lutein + </w:t>
      </w:r>
      <w:proofErr w:type="spellStart"/>
      <w:r>
        <w:t>zeaxanthin</w:t>
      </w:r>
      <w:proofErr w:type="spellEnd"/>
      <w:r>
        <w:t xml:space="preserve">, DHA + EPA or lutein + </w:t>
      </w:r>
      <w:proofErr w:type="spellStart"/>
      <w:r>
        <w:t>zeaxanthin</w:t>
      </w:r>
      <w:proofErr w:type="spellEnd"/>
      <w:r>
        <w:t xml:space="preserve"> and DHA + EPA provided no statistically significant effect on progression to advanced ARMD or changes in visual acuity.</w:t>
      </w:r>
    </w:p>
    <w:p w:rsidR="003C7749" w:rsidRDefault="003C7749" w:rsidP="007058E8">
      <w:pPr>
        <w:pStyle w:val="ListParagraph"/>
        <w:numPr>
          <w:ilvl w:val="0"/>
          <w:numId w:val="8"/>
        </w:numPr>
      </w:pPr>
      <w:r>
        <w:t>There were no beneficial or harmful effects of DHA + EPA in the treatment of ARMD.</w:t>
      </w:r>
    </w:p>
    <w:p w:rsidR="003C7749" w:rsidRDefault="003C7749" w:rsidP="007058E8">
      <w:pPr>
        <w:pStyle w:val="ListParagraph"/>
        <w:numPr>
          <w:ilvl w:val="0"/>
          <w:numId w:val="8"/>
        </w:numPr>
      </w:pPr>
      <w:r>
        <w:t xml:space="preserve">Serum levels of lutein + </w:t>
      </w:r>
      <w:proofErr w:type="spellStart"/>
      <w:r>
        <w:t>zeaxanthin</w:t>
      </w:r>
      <w:proofErr w:type="spellEnd"/>
      <w:r>
        <w:t xml:space="preserve"> were lower in </w:t>
      </w:r>
      <w:proofErr w:type="gramStart"/>
      <w:r>
        <w:t>those</w:t>
      </w:r>
      <w:proofErr w:type="gramEnd"/>
      <w:r>
        <w:t xml:space="preserve"> receiving beta carotene, supporting the literature suggesting that there is competitive absorption between the carotenoids.</w:t>
      </w:r>
    </w:p>
    <w:p w:rsidR="003C7749" w:rsidRDefault="003C7749" w:rsidP="007058E8">
      <w:pPr>
        <w:pStyle w:val="ListParagraph"/>
        <w:numPr>
          <w:ilvl w:val="0"/>
          <w:numId w:val="8"/>
        </w:numPr>
      </w:pPr>
      <w:r>
        <w:t>A higher incidence of lung cancer was noted in former smokers who took the beta carotene product.</w:t>
      </w:r>
    </w:p>
    <w:p w:rsidR="00517873" w:rsidRDefault="00517873" w:rsidP="007058E8">
      <w:pPr>
        <w:pStyle w:val="ListParagraph"/>
        <w:numPr>
          <w:ilvl w:val="0"/>
          <w:numId w:val="8"/>
        </w:numPr>
      </w:pPr>
      <w:r>
        <w:t>No apparent effect on vision noted by eliminating beta carotene and reducing zinc content.</w:t>
      </w:r>
    </w:p>
    <w:p w:rsidR="000B5118" w:rsidRDefault="00DE2686" w:rsidP="000B5118">
      <w:pPr>
        <w:pStyle w:val="ListParagraph"/>
        <w:numPr>
          <w:ilvl w:val="0"/>
          <w:numId w:val="8"/>
        </w:numPr>
      </w:pPr>
      <w:proofErr w:type="gramStart"/>
      <w:r>
        <w:t>Patients</w:t>
      </w:r>
      <w:proofErr w:type="gramEnd"/>
      <w:r>
        <w:t xml:space="preserve"> who took supplemental lutein + </w:t>
      </w:r>
      <w:proofErr w:type="spellStart"/>
      <w:r>
        <w:t>zeaxanthin</w:t>
      </w:r>
      <w:proofErr w:type="spellEnd"/>
      <w:r>
        <w:t xml:space="preserve">, particularly those with low dietary intake, were less likely to progress to advanced ARMD compared to those who did not take the supplements. </w:t>
      </w:r>
    </w:p>
    <w:p w:rsidR="000333F8" w:rsidRDefault="00B75AE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45619" w:rsidRPr="00A45619" w:rsidRDefault="000B5118" w:rsidP="000B5118">
      <w:pPr>
        <w:rPr>
          <w:b/>
          <w:u w:val="single"/>
        </w:rPr>
      </w:pPr>
      <w:r w:rsidRPr="00A45619">
        <w:rPr>
          <w:b/>
          <w:u w:val="single"/>
        </w:rPr>
        <w:lastRenderedPageBreak/>
        <w:t xml:space="preserve">Pertinent Points with Regard to </w:t>
      </w:r>
      <w:r w:rsidR="003937E2" w:rsidRPr="00A45619">
        <w:rPr>
          <w:b/>
          <w:u w:val="single"/>
        </w:rPr>
        <w:t>Vitamin Products</w:t>
      </w:r>
    </w:p>
    <w:p w:rsidR="003937E2" w:rsidRDefault="003937E2" w:rsidP="000B5118">
      <w:r>
        <w:t>Before the AREDS2 study results were released, Bausch &amp; Lomb anticipated the results and marketed a product called “AREDS 2 Formula with Lutein 10mg &amp; Omega-3 FAs 1000mg” in a soft gel formulation.  This product has been discontinued since the AREDS2 study results showed no benefit to providing Omega-3 FAs.  A new formulation has replaced this product.  This new product is called simply “AREDS 2 Formula” and is provided as a soft gel.</w:t>
      </w:r>
      <w:r w:rsidR="0034071B">
        <w:t xml:space="preserve">  It contains the formula supported by the AREDS2 study.</w:t>
      </w:r>
    </w:p>
    <w:p w:rsidR="00A45619" w:rsidRPr="00B75AE2" w:rsidRDefault="00B75AE2" w:rsidP="000B5118">
      <w:pPr>
        <w:rPr>
          <w:b/>
          <w:u w:val="single"/>
        </w:rPr>
      </w:pPr>
      <w:r w:rsidRPr="00B75AE2">
        <w:rPr>
          <w:b/>
          <w:u w:val="single"/>
        </w:rPr>
        <w:t>Moving Forward</w:t>
      </w:r>
    </w:p>
    <w:p w:rsidR="00B75AE2" w:rsidRDefault="00B75AE2" w:rsidP="00B75AE2">
      <w:r>
        <w:t>As a result of the AREDS2 study findings, the MAP-VPE-PBM voted to remove beta carotene-containing eye vitamins from the VA National Formulary.</w:t>
      </w:r>
    </w:p>
    <w:p w:rsidR="00B75AE2" w:rsidRDefault="00B75AE2" w:rsidP="00B75AE2">
      <w:r>
        <w:t xml:space="preserve">Effective 12/9/2013, the new AREDS 2 Formula vitamin will be on FSS contract.  </w:t>
      </w:r>
      <w:proofErr w:type="spellStart"/>
      <w:r>
        <w:t>PreserVision</w:t>
      </w:r>
      <w:proofErr w:type="spellEnd"/>
      <w:r>
        <w:t xml:space="preserve"> + Lutein remains on FSS contract until 7/12/2014.  The chart below compares the two products.  Of note, </w:t>
      </w:r>
      <w:proofErr w:type="spellStart"/>
      <w:r>
        <w:t>PreserVision</w:t>
      </w:r>
      <w:proofErr w:type="spellEnd"/>
      <w:r>
        <w:t xml:space="preserve"> + Lutein </w:t>
      </w:r>
      <w:proofErr w:type="gramStart"/>
      <w:r>
        <w:t>does</w:t>
      </w:r>
      <w:proofErr w:type="gramEnd"/>
      <w:r>
        <w:t xml:space="preserve"> not contain </w:t>
      </w:r>
      <w:proofErr w:type="spellStart"/>
      <w:r>
        <w:t>zeaxanthin</w:t>
      </w:r>
      <w:proofErr w:type="spellEnd"/>
      <w: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926"/>
        <w:gridCol w:w="921"/>
        <w:gridCol w:w="927"/>
        <w:gridCol w:w="928"/>
        <w:gridCol w:w="928"/>
        <w:gridCol w:w="928"/>
        <w:gridCol w:w="928"/>
        <w:gridCol w:w="928"/>
        <w:gridCol w:w="1033"/>
      </w:tblGrid>
      <w:tr w:rsidR="00B75AE2" w:rsidRPr="00A45619" w:rsidTr="00603851">
        <w:trPr>
          <w:trHeight w:val="61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 w:rsidRPr="00A45619">
              <w:rPr>
                <w:b/>
                <w:bCs/>
                <w:sz w:val="18"/>
                <w:szCs w:val="18"/>
              </w:rPr>
              <w:t>Product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 w:rsidRPr="00A45619">
              <w:rPr>
                <w:b/>
                <w:bCs/>
                <w:sz w:val="18"/>
                <w:szCs w:val="18"/>
              </w:rPr>
              <w:t>C (mg)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 w:rsidRPr="00A45619">
              <w:rPr>
                <w:b/>
                <w:bCs/>
                <w:sz w:val="18"/>
                <w:szCs w:val="18"/>
              </w:rPr>
              <w:t>E (IU)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 w:rsidRPr="00A45619">
              <w:rPr>
                <w:b/>
                <w:bCs/>
                <w:sz w:val="18"/>
                <w:szCs w:val="18"/>
              </w:rPr>
              <w:t>Zn (mg)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 w:rsidRPr="00A45619">
              <w:rPr>
                <w:b/>
                <w:bCs/>
                <w:sz w:val="18"/>
                <w:szCs w:val="18"/>
              </w:rPr>
              <w:t>Cu (mg)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 w:rsidRPr="00A45619">
              <w:rPr>
                <w:b/>
                <w:bCs/>
                <w:sz w:val="18"/>
                <w:szCs w:val="18"/>
              </w:rPr>
              <w:t>EPA (mg)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 w:rsidRPr="00A45619">
              <w:rPr>
                <w:b/>
                <w:bCs/>
                <w:sz w:val="18"/>
                <w:szCs w:val="18"/>
              </w:rPr>
              <w:t>DHA (mg)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 w:rsidRPr="00A45619">
              <w:rPr>
                <w:b/>
                <w:bCs/>
                <w:sz w:val="18"/>
                <w:szCs w:val="18"/>
              </w:rPr>
              <w:t>L (mg)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 w:rsidRPr="00A45619">
              <w:rPr>
                <w:b/>
                <w:bCs/>
                <w:sz w:val="18"/>
                <w:szCs w:val="18"/>
              </w:rPr>
              <w:t>Z (mg)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b/>
                <w:bCs/>
                <w:sz w:val="18"/>
                <w:szCs w:val="18"/>
              </w:rPr>
            </w:pPr>
            <w:r w:rsidRPr="00A45619">
              <w:rPr>
                <w:b/>
                <w:bCs/>
                <w:sz w:val="18"/>
                <w:szCs w:val="18"/>
              </w:rPr>
              <w:t>B-carotene</w:t>
            </w:r>
          </w:p>
        </w:tc>
      </w:tr>
      <w:tr w:rsidR="00B75AE2" w:rsidRPr="00A45619" w:rsidTr="00603851">
        <w:trPr>
          <w:trHeight w:val="637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sz w:val="18"/>
                <w:szCs w:val="18"/>
              </w:rPr>
            </w:pPr>
            <w:r w:rsidRPr="00A45619">
              <w:rPr>
                <w:sz w:val="18"/>
                <w:szCs w:val="18"/>
              </w:rPr>
              <w:t>AREDS2 Formula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sz w:val="18"/>
                <w:szCs w:val="18"/>
              </w:rPr>
            </w:pPr>
            <w:r w:rsidRPr="00A45619">
              <w:rPr>
                <w:sz w:val="18"/>
                <w:szCs w:val="18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sz w:val="18"/>
                <w:szCs w:val="18"/>
              </w:rPr>
            </w:pPr>
            <w:r w:rsidRPr="00A45619">
              <w:rPr>
                <w:sz w:val="18"/>
                <w:szCs w:val="18"/>
              </w:rPr>
              <w:t>400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sz w:val="18"/>
                <w:szCs w:val="18"/>
              </w:rPr>
            </w:pPr>
            <w:r w:rsidRPr="00A45619">
              <w:rPr>
                <w:sz w:val="18"/>
                <w:szCs w:val="18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sz w:val="18"/>
                <w:szCs w:val="18"/>
              </w:rPr>
            </w:pPr>
            <w:r w:rsidRPr="00A45619">
              <w:rPr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sz w:val="18"/>
                <w:szCs w:val="18"/>
              </w:rPr>
            </w:pPr>
            <w:r w:rsidRPr="00A45619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sz w:val="18"/>
                <w:szCs w:val="18"/>
              </w:rPr>
            </w:pPr>
            <w:r w:rsidRPr="00A45619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sz w:val="18"/>
                <w:szCs w:val="18"/>
              </w:rPr>
            </w:pPr>
            <w:r w:rsidRPr="00A45619">
              <w:rPr>
                <w:sz w:val="18"/>
                <w:szCs w:val="18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sz w:val="18"/>
                <w:szCs w:val="18"/>
              </w:rPr>
            </w:pPr>
            <w:r w:rsidRPr="00A45619">
              <w:rPr>
                <w:sz w:val="18"/>
                <w:szCs w:val="18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sz w:val="18"/>
                <w:szCs w:val="18"/>
              </w:rPr>
            </w:pPr>
            <w:r w:rsidRPr="00A45619">
              <w:rPr>
                <w:sz w:val="18"/>
                <w:szCs w:val="18"/>
              </w:rPr>
              <w:t>0</w:t>
            </w:r>
          </w:p>
        </w:tc>
      </w:tr>
      <w:tr w:rsidR="00B75AE2" w:rsidRPr="00A45619" w:rsidTr="00603851">
        <w:trPr>
          <w:trHeight w:val="601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A45619">
              <w:rPr>
                <w:sz w:val="18"/>
                <w:szCs w:val="18"/>
              </w:rPr>
              <w:t>PreserVision</w:t>
            </w:r>
            <w:proofErr w:type="spellEnd"/>
            <w:r w:rsidRPr="00A45619">
              <w:rPr>
                <w:sz w:val="18"/>
                <w:szCs w:val="18"/>
              </w:rPr>
              <w:t xml:space="preserve"> + Lutein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sz w:val="18"/>
                <w:szCs w:val="18"/>
              </w:rPr>
            </w:pPr>
            <w:r w:rsidRPr="00A45619">
              <w:rPr>
                <w:sz w:val="18"/>
                <w:szCs w:val="18"/>
              </w:rPr>
              <w:t>452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sz w:val="18"/>
                <w:szCs w:val="18"/>
              </w:rPr>
            </w:pPr>
            <w:r w:rsidRPr="00A45619">
              <w:rPr>
                <w:sz w:val="18"/>
                <w:szCs w:val="18"/>
              </w:rPr>
              <w:t>400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sz w:val="18"/>
                <w:szCs w:val="18"/>
              </w:rPr>
            </w:pPr>
            <w:r w:rsidRPr="00A45619">
              <w:rPr>
                <w:sz w:val="18"/>
                <w:szCs w:val="18"/>
              </w:rPr>
              <w:t>69.6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sz w:val="18"/>
                <w:szCs w:val="18"/>
              </w:rPr>
            </w:pPr>
            <w:r w:rsidRPr="00A45619">
              <w:rPr>
                <w:sz w:val="18"/>
                <w:szCs w:val="18"/>
              </w:rPr>
              <w:t>1.6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sz w:val="18"/>
                <w:szCs w:val="18"/>
              </w:rPr>
            </w:pPr>
            <w:r w:rsidRPr="00A45619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sz w:val="18"/>
                <w:szCs w:val="18"/>
              </w:rPr>
            </w:pPr>
            <w:r w:rsidRPr="00A45619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sz w:val="18"/>
                <w:szCs w:val="18"/>
              </w:rPr>
            </w:pPr>
            <w:r w:rsidRPr="00A45619">
              <w:rPr>
                <w:sz w:val="18"/>
                <w:szCs w:val="18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sz w:val="18"/>
                <w:szCs w:val="18"/>
              </w:rPr>
            </w:pPr>
            <w:r w:rsidRPr="00A45619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E2" w:rsidRPr="00A45619" w:rsidRDefault="00B75AE2" w:rsidP="00603851">
            <w:pPr>
              <w:rPr>
                <w:rFonts w:eastAsiaTheme="minorHAnsi"/>
                <w:sz w:val="18"/>
                <w:szCs w:val="18"/>
              </w:rPr>
            </w:pPr>
            <w:r w:rsidRPr="00A45619">
              <w:rPr>
                <w:sz w:val="18"/>
                <w:szCs w:val="18"/>
              </w:rPr>
              <w:t>0</w:t>
            </w:r>
          </w:p>
        </w:tc>
      </w:tr>
    </w:tbl>
    <w:p w:rsidR="00B75AE2" w:rsidRDefault="00B75AE2" w:rsidP="000B5118"/>
    <w:p w:rsidR="00B75AE2" w:rsidRPr="00314FE5" w:rsidRDefault="00436DE1" w:rsidP="000B5118">
      <w:pPr>
        <w:rPr>
          <w:b/>
          <w:u w:val="single"/>
        </w:rPr>
      </w:pPr>
      <w:r w:rsidRPr="00314FE5">
        <w:rPr>
          <w:b/>
          <w:u w:val="single"/>
        </w:rPr>
        <w:t>References:</w:t>
      </w:r>
    </w:p>
    <w:p w:rsidR="00436DE1" w:rsidRDefault="00436DE1" w:rsidP="000B5118">
      <w:r>
        <w:t xml:space="preserve">AREDS2 Research Group. </w:t>
      </w:r>
      <w:proofErr w:type="gramStart"/>
      <w:r>
        <w:t xml:space="preserve">Lutein + </w:t>
      </w:r>
      <w:proofErr w:type="spellStart"/>
      <w:r>
        <w:t>Zeaxanthin</w:t>
      </w:r>
      <w:proofErr w:type="spellEnd"/>
      <w:r>
        <w:t xml:space="preserve"> and Omega-3 Fatty Acids for Age-Related Macular Degeneration.</w:t>
      </w:r>
      <w:proofErr w:type="gramEnd"/>
      <w:r>
        <w:t xml:space="preserve">  The Age-Related Eye Disease Study 2 (AREDS2) Randomized Clinical Trial. JAMA 2013; 309 (19): </w:t>
      </w:r>
      <w:proofErr w:type="spellStart"/>
      <w:r>
        <w:t>doi</w:t>
      </w:r>
      <w:proofErr w:type="spellEnd"/>
      <w:r>
        <w:t>: 10.1001/jama.2013.4997.</w:t>
      </w:r>
    </w:p>
    <w:p w:rsidR="00436DE1" w:rsidRDefault="00314FE5" w:rsidP="000B5118">
      <w:r>
        <w:t xml:space="preserve">Chew EY, Clemons TE, </w:t>
      </w:r>
      <w:proofErr w:type="spellStart"/>
      <w:r>
        <w:t>Agron</w:t>
      </w:r>
      <w:proofErr w:type="spellEnd"/>
      <w:r>
        <w:t xml:space="preserve"> E, et al. Long-Term Effects of Vitamins C and E, Beta Carotene and Zinc on Age-related Macular Degeneration. AREDS Report No. 35. Ophthalmology 2013; 120: 1604-1611.</w:t>
      </w:r>
    </w:p>
    <w:p w:rsidR="007058E8" w:rsidRPr="00E648D5" w:rsidRDefault="007058E8" w:rsidP="007058E8"/>
    <w:p w:rsidR="00612CFE" w:rsidRDefault="00612CFE" w:rsidP="00612CFE"/>
    <w:p w:rsidR="00861079" w:rsidRDefault="00861079"/>
    <w:p w:rsidR="00861079" w:rsidRDefault="00861079"/>
    <w:sectPr w:rsidR="008610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E5" w:rsidRDefault="007437E5" w:rsidP="008C05A5">
      <w:pPr>
        <w:spacing w:after="0" w:line="240" w:lineRule="auto"/>
      </w:pPr>
      <w:r>
        <w:separator/>
      </w:r>
    </w:p>
  </w:endnote>
  <w:endnote w:type="continuationSeparator" w:id="0">
    <w:p w:rsidR="007437E5" w:rsidRDefault="007437E5" w:rsidP="008C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196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3F8" w:rsidRDefault="000333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7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5A5" w:rsidRDefault="008C0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E5" w:rsidRDefault="007437E5" w:rsidP="008C05A5">
      <w:pPr>
        <w:spacing w:after="0" w:line="240" w:lineRule="auto"/>
      </w:pPr>
      <w:r>
        <w:separator/>
      </w:r>
    </w:p>
  </w:footnote>
  <w:footnote w:type="continuationSeparator" w:id="0">
    <w:p w:rsidR="007437E5" w:rsidRDefault="007437E5" w:rsidP="008C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A5" w:rsidRDefault="008C05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249"/>
    <w:multiLevelType w:val="hybridMultilevel"/>
    <w:tmpl w:val="8138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154A"/>
    <w:multiLevelType w:val="hybridMultilevel"/>
    <w:tmpl w:val="E176F2F2"/>
    <w:lvl w:ilvl="0" w:tplc="B4A829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E162C"/>
    <w:multiLevelType w:val="hybridMultilevel"/>
    <w:tmpl w:val="78AE4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77D39"/>
    <w:multiLevelType w:val="hybridMultilevel"/>
    <w:tmpl w:val="99E682FA"/>
    <w:lvl w:ilvl="0" w:tplc="B4A829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3399F"/>
    <w:multiLevelType w:val="hybridMultilevel"/>
    <w:tmpl w:val="8C30AA3A"/>
    <w:lvl w:ilvl="0" w:tplc="B4A829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A7FFD"/>
    <w:multiLevelType w:val="hybridMultilevel"/>
    <w:tmpl w:val="94949EE4"/>
    <w:lvl w:ilvl="0" w:tplc="B4A829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16E1D"/>
    <w:multiLevelType w:val="hybridMultilevel"/>
    <w:tmpl w:val="D2628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B46E7"/>
    <w:multiLevelType w:val="hybridMultilevel"/>
    <w:tmpl w:val="8AA0A230"/>
    <w:lvl w:ilvl="0" w:tplc="B4A829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2E"/>
    <w:rsid w:val="000333F8"/>
    <w:rsid w:val="000B5118"/>
    <w:rsid w:val="000D2A20"/>
    <w:rsid w:val="00314FE5"/>
    <w:rsid w:val="003165C7"/>
    <w:rsid w:val="0032218A"/>
    <w:rsid w:val="0034071B"/>
    <w:rsid w:val="003937E2"/>
    <w:rsid w:val="003C7749"/>
    <w:rsid w:val="00436DE1"/>
    <w:rsid w:val="004438B7"/>
    <w:rsid w:val="00517873"/>
    <w:rsid w:val="00612CFE"/>
    <w:rsid w:val="007058E8"/>
    <w:rsid w:val="007437E5"/>
    <w:rsid w:val="00861079"/>
    <w:rsid w:val="008C05A5"/>
    <w:rsid w:val="008F6A42"/>
    <w:rsid w:val="0090133B"/>
    <w:rsid w:val="0096600E"/>
    <w:rsid w:val="009E532E"/>
    <w:rsid w:val="00A13BD2"/>
    <w:rsid w:val="00A45619"/>
    <w:rsid w:val="00B05C5C"/>
    <w:rsid w:val="00B27BF4"/>
    <w:rsid w:val="00B34642"/>
    <w:rsid w:val="00B75AE2"/>
    <w:rsid w:val="00C53E4E"/>
    <w:rsid w:val="00CB270B"/>
    <w:rsid w:val="00CC215B"/>
    <w:rsid w:val="00DC46ED"/>
    <w:rsid w:val="00DE2686"/>
    <w:rsid w:val="00E6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CFE"/>
    <w:pPr>
      <w:ind w:left="720"/>
      <w:contextualSpacing/>
    </w:pPr>
  </w:style>
  <w:style w:type="table" w:styleId="TableGrid">
    <w:name w:val="Table Grid"/>
    <w:basedOn w:val="TableNormal"/>
    <w:uiPriority w:val="59"/>
    <w:rsid w:val="0061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5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5A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CFE"/>
    <w:pPr>
      <w:ind w:left="720"/>
      <w:contextualSpacing/>
    </w:pPr>
  </w:style>
  <w:style w:type="table" w:styleId="TableGrid">
    <w:name w:val="Table Grid"/>
    <w:basedOn w:val="TableNormal"/>
    <w:uiPriority w:val="59"/>
    <w:rsid w:val="0061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5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5A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20ED0BA549147B67B93624EC38BE2" ma:contentTypeVersion="1" ma:contentTypeDescription="Create a new document." ma:contentTypeScope="" ma:versionID="b11ac1f38211a3099184790f2c9a42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41e375015c50f2ed44184d8d0dcf8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8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>
      <xsd:simpleType>
        <xsd:restriction base="dms:Text"/>
      </xsd:simpleType>
    </xsd:element>
    <xsd:element name="_SharedFileIndex" ma:index="12" nillable="true" ma:displayName="Shared File Index" ma:hidden="true" ma:internalName="_SharedFileIndex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>
      <xsd:simpleType>
        <xsd:restriction base="dms:Text"/>
      </xsd:simpleType>
    </xsd:element>
    <xsd:element name="xd_ProgID" ma:index="15" nillable="true" ma:displayName="Html File Link" ma:hidden="true" ma:internalName="xd_ProgID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18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9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0" nillable="true" ma:displayName="Has Copy Destinations" ma:hidden="true" ma:internalName="_HasCopyDestinations" ma:readOnly="false">
      <xsd:simpleType>
        <xsd:restriction base="dms:Boolean"/>
      </xsd:simpleType>
    </xsd:element>
    <xsd:element name="_CopySource" ma:index="21" nillable="true" ma:displayName="Copy Source" ma:internalName="_CopySource" ma:readOnly="true">
      <xsd:simpleType>
        <xsd:restriction base="dms:Text"/>
      </xsd:simpleType>
    </xsd:element>
    <xsd:element name="_ModerationStatus" ma:index="22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3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4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5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6" nillable="true" ma:displayName="Created" ma:format="TRUE" ma:hidden="true" ma:list="Docs" ma:internalName="Created_x0020_Date" ma:readOnly="false" ma:showField="TimeCreated">
      <xsd:simpleType>
        <xsd:restriction base="dms:Lookup"/>
      </xsd:simpleType>
    </xsd:element>
    <xsd:element name="File_x0020_Size" ma:index="27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8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0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Checked Out To" ma:hidden="true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4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5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6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7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8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49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0" nillable="true" ma:displayName="Level" ma:hidden="true" ma:internalName="_Level" ma:readOnly="true">
      <xsd:simpleType>
        <xsd:restriction base="dms:Unknown"/>
      </xsd:simpleType>
    </xsd:element>
    <xsd:element name="_IsCurrentVersion" ma:index="51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4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5" nillable="true" ma:displayName="UI Version" ma:hidden="true" ma:internalName="_UIVersion" ma:readOnly="true">
      <xsd:simpleType>
        <xsd:restriction base="dms:Unknown"/>
      </xsd:simpleType>
    </xsd:element>
    <xsd:element name="_UIVersionString" ma:index="56" nillable="true" ma:displayName="Version" ma:internalName="_UIVersionString" ma:readOnly="true">
      <xsd:simpleType>
        <xsd:restriction base="dms:Text"/>
      </xsd:simpleType>
    </xsd:element>
    <xsd:element name="InstanceID" ma:index="57" nillable="true" ma:displayName="Instance ID" ma:hidden="true" ma:internalName="InstanceID" ma:readOnly="true">
      <xsd:simpleType>
        <xsd:restriction base="dms:Unknown"/>
      </xsd:simpleType>
    </xsd:element>
    <xsd:element name="Order" ma:index="58" nillable="true" ma:displayName="Order" ma:hidden="true" ma:internalName="Order">
      <xsd:simpleType>
        <xsd:restriction base="dms:Number"/>
      </xsd:simpleType>
    </xsd:element>
    <xsd:element name="GUID" ma:index="59" nillable="true" ma:displayName="GUID" ma:hidden="true" ma:internalName="GUID" ma:readOnly="true">
      <xsd:simpleType>
        <xsd:restriction base="dms:Unknown"/>
      </xsd:simpleType>
    </xsd:element>
    <xsd:element name="WorkflowVersion" ma:index="60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1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2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3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0x0101007D220ED0BA549147B67B93624EC38BE2</ContentTypeId>
    <TemplateUrl xmlns="http://schemas.microsoft.com/sharepoint/v3" xsi:nil="true"/>
    <_SourceUrl xmlns="http://schemas.microsoft.com/sharepoint/v3" xsi:nil="true"/>
    <Created_x0020_Date xmlns="http://schemas.microsoft.com/sharepoint/v3" xsi:nil="true"/>
    <_HasCopyDestinations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AAC98D-4FF1-4E5A-8A1F-EFD74F7D0D05}"/>
</file>

<file path=customXml/itemProps2.xml><?xml version="1.0" encoding="utf-8"?>
<ds:datastoreItem xmlns:ds="http://schemas.openxmlformats.org/officeDocument/2006/customXml" ds:itemID="{A95829BB-D9BB-46B8-AC00-511851269765}"/>
</file>

<file path=customXml/itemProps3.xml><?xml version="1.0" encoding="utf-8"?>
<ds:datastoreItem xmlns:ds="http://schemas.openxmlformats.org/officeDocument/2006/customXml" ds:itemID="{423ACF9B-DEE8-4DA3-99DC-8A7FBE1D5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Heron, Bernadette B.</dc:creator>
  <cp:lastModifiedBy>Heron, Bernadette B.</cp:lastModifiedBy>
  <cp:revision>2</cp:revision>
  <cp:lastPrinted>2013-12-06T15:57:00Z</cp:lastPrinted>
  <dcterms:created xsi:type="dcterms:W3CDTF">2013-12-23T19:20:00Z</dcterms:created>
  <dcterms:modified xsi:type="dcterms:W3CDTF">2013-12-23T19:20:00Z</dcterms:modified>
</cp:coreProperties>
</file>