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BB" w:rsidRDefault="00656243" w:rsidP="00716B76">
      <w:pPr>
        <w:pStyle w:val="Subtitle"/>
        <w:pBdr>
          <w:top w:val="single" w:sz="4" w:space="8" w:color="auto"/>
          <w:bottom w:val="single" w:sz="4" w:space="0" w:color="auto"/>
        </w:pBdr>
        <w:shd w:val="clear" w:color="auto" w:fill="E0E0E0"/>
        <w:spacing w:before="40" w:after="40"/>
        <w:rPr>
          <w:szCs w:val="22"/>
        </w:rPr>
      </w:pPr>
      <w:r>
        <w:rPr>
          <w:szCs w:val="22"/>
        </w:rPr>
        <w:t>Fluticasone furoate/Vila</w:t>
      </w:r>
      <w:r w:rsidR="00032C52">
        <w:rPr>
          <w:szCs w:val="22"/>
        </w:rPr>
        <w:t>n</w:t>
      </w:r>
      <w:r>
        <w:rPr>
          <w:szCs w:val="22"/>
        </w:rPr>
        <w:t>terol (</w:t>
      </w:r>
      <w:proofErr w:type="spellStart"/>
      <w:r>
        <w:rPr>
          <w:szCs w:val="22"/>
        </w:rPr>
        <w:t>Breo</w:t>
      </w:r>
      <w:proofErr w:type="spellEnd"/>
      <w:r>
        <w:rPr>
          <w:szCs w:val="22"/>
        </w:rPr>
        <w:t xml:space="preserve"> </w:t>
      </w:r>
      <w:proofErr w:type="spellStart"/>
      <w:r>
        <w:rPr>
          <w:szCs w:val="22"/>
        </w:rPr>
        <w:t>Ellipta</w:t>
      </w:r>
      <w:proofErr w:type="spellEnd"/>
      <w:r w:rsidR="001677BF">
        <w:rPr>
          <w:szCs w:val="22"/>
        </w:rPr>
        <w:t xml:space="preserve">) </w:t>
      </w:r>
    </w:p>
    <w:p w:rsidR="001677BF" w:rsidRDefault="001677BF" w:rsidP="00716B76">
      <w:pPr>
        <w:pStyle w:val="Subtitle"/>
        <w:pBdr>
          <w:top w:val="single" w:sz="4" w:space="8" w:color="auto"/>
          <w:bottom w:val="single" w:sz="4" w:space="0" w:color="auto"/>
        </w:pBdr>
        <w:shd w:val="clear" w:color="auto" w:fill="E0E0E0"/>
        <w:spacing w:before="40" w:after="40"/>
      </w:pPr>
      <w:r>
        <w:t>National PBM Drug Monograph</w:t>
      </w:r>
    </w:p>
    <w:p w:rsidR="001677BF" w:rsidRDefault="001677BF" w:rsidP="00716B76">
      <w:pPr>
        <w:pStyle w:val="Subtitle"/>
        <w:pBdr>
          <w:top w:val="single" w:sz="4" w:space="8" w:color="auto"/>
          <w:bottom w:val="single" w:sz="4" w:space="0" w:color="auto"/>
        </w:pBdr>
        <w:shd w:val="clear" w:color="auto" w:fill="E0E0E0"/>
        <w:spacing w:before="40" w:after="40"/>
      </w:pPr>
      <w:r>
        <w:rPr>
          <w:sz w:val="18"/>
        </w:rPr>
        <w:t xml:space="preserve">VA Pharmacy Benefits Management Services, </w:t>
      </w:r>
      <w:r>
        <w:rPr>
          <w:sz w:val="18"/>
        </w:rPr>
        <w:br/>
        <w:t>Medical Advisory Panel, and VISN Pharmacist Executives</w:t>
      </w:r>
    </w:p>
    <w:p w:rsidR="001677BF" w:rsidRDefault="001677BF" w:rsidP="001677BF">
      <w:pPr>
        <w:rPr>
          <w:i/>
          <w:iCs/>
          <w:sz w:val="18"/>
          <w:szCs w:val="18"/>
        </w:rPr>
      </w:pPr>
      <w:r>
        <w:rPr>
          <w:i/>
          <w:iCs/>
          <w:sz w:val="18"/>
          <w:szCs w:val="18"/>
        </w:rPr>
        <w:t>The purpose of VACO PBM-SHG drug monographs is to provide a comprehensive drug review for making formulary decisions.  These documents will be updated when new data warrant additional formulary discussion.  Documents will be placed in the Archive section when the information is deemed to be no longer current.</w:t>
      </w:r>
    </w:p>
    <w:p w:rsidR="00A07175" w:rsidRDefault="00A07175">
      <w:pPr>
        <w:rPr>
          <w:rFonts w:ascii="Arial" w:hAnsi="Arial" w:cs="Arial"/>
          <w:color w:val="333333"/>
          <w:sz w:val="21"/>
          <w:szCs w:val="21"/>
        </w:rPr>
      </w:pPr>
    </w:p>
    <w:p w:rsidR="000A3F76" w:rsidRPr="00F76BE6" w:rsidRDefault="000A3F76">
      <w:pPr>
        <w:rPr>
          <w:b/>
          <w:sz w:val="22"/>
          <w:szCs w:val="22"/>
          <w:u w:val="single"/>
        </w:rPr>
      </w:pPr>
      <w:r w:rsidRPr="00F76BE6">
        <w:rPr>
          <w:b/>
          <w:sz w:val="22"/>
          <w:szCs w:val="22"/>
          <w:u w:val="single"/>
        </w:rPr>
        <w:t>Executive Summary</w:t>
      </w:r>
    </w:p>
    <w:p w:rsidR="00E95A8C" w:rsidRDefault="00896CA6" w:rsidP="00E95A8C">
      <w:pPr>
        <w:pStyle w:val="NoSpacing"/>
        <w:numPr>
          <w:ilvl w:val="0"/>
          <w:numId w:val="2"/>
        </w:numPr>
        <w:ind w:left="360"/>
        <w:rPr>
          <w:sz w:val="20"/>
          <w:szCs w:val="20"/>
        </w:rPr>
      </w:pPr>
      <w:r w:rsidRPr="00E95A8C">
        <w:rPr>
          <w:sz w:val="20"/>
          <w:szCs w:val="20"/>
        </w:rPr>
        <w:t>Fluticasone furoate/vila</w:t>
      </w:r>
      <w:r w:rsidR="00032C52">
        <w:rPr>
          <w:sz w:val="20"/>
          <w:szCs w:val="20"/>
        </w:rPr>
        <w:t>n</w:t>
      </w:r>
      <w:r w:rsidR="00A14D4E">
        <w:rPr>
          <w:sz w:val="20"/>
          <w:szCs w:val="20"/>
        </w:rPr>
        <w:t>terol (FF/VI</w:t>
      </w:r>
      <w:r w:rsidRPr="00E95A8C">
        <w:rPr>
          <w:sz w:val="20"/>
          <w:szCs w:val="20"/>
        </w:rPr>
        <w:t>) is a combination inhaled corticosteroid/long-acting beta-agonist inhaler (ICS/LABA) that is administered once daily.  Fluticasone furoate is a salt-form that allows for once daily dosing.  Vila</w:t>
      </w:r>
      <w:r w:rsidR="00032C52">
        <w:rPr>
          <w:sz w:val="20"/>
          <w:szCs w:val="20"/>
        </w:rPr>
        <w:t>n</w:t>
      </w:r>
      <w:r w:rsidRPr="00E95A8C">
        <w:rPr>
          <w:sz w:val="20"/>
          <w:szCs w:val="20"/>
        </w:rPr>
        <w:t>terol is a novel once daily LABA.</w:t>
      </w:r>
      <w:r w:rsidR="00E95A8C" w:rsidRPr="00E95A8C">
        <w:rPr>
          <w:sz w:val="20"/>
          <w:szCs w:val="20"/>
        </w:rPr>
        <w:t xml:space="preserve">  </w:t>
      </w:r>
    </w:p>
    <w:p w:rsidR="00E95A8C" w:rsidRDefault="00E95A8C" w:rsidP="00E95A8C">
      <w:pPr>
        <w:pStyle w:val="NoSpacing"/>
        <w:ind w:left="360"/>
        <w:rPr>
          <w:sz w:val="20"/>
          <w:szCs w:val="20"/>
        </w:rPr>
      </w:pPr>
    </w:p>
    <w:p w:rsidR="00E95A8C" w:rsidRPr="00E95A8C" w:rsidRDefault="0054625D" w:rsidP="00E95A8C">
      <w:pPr>
        <w:pStyle w:val="NoSpacing"/>
        <w:numPr>
          <w:ilvl w:val="0"/>
          <w:numId w:val="2"/>
        </w:numPr>
        <w:ind w:left="360"/>
        <w:rPr>
          <w:sz w:val="20"/>
          <w:szCs w:val="20"/>
        </w:rPr>
      </w:pPr>
      <w:r>
        <w:rPr>
          <w:sz w:val="20"/>
          <w:szCs w:val="20"/>
        </w:rPr>
        <w:t xml:space="preserve">FF/VI </w:t>
      </w:r>
      <w:r w:rsidR="00E95A8C" w:rsidRPr="00E95A8C">
        <w:rPr>
          <w:sz w:val="20"/>
          <w:szCs w:val="20"/>
        </w:rPr>
        <w:t xml:space="preserve">is FDA-approved for the long-term, once-daily, maintenance treatment of airflow obstruction in patients with chronic obstructive pulmonary disease (COPD), including chronic bronchitis and/or emphysema. It is also approved to reduce exacerbations of COPD in patients with a history of exacerbations. </w:t>
      </w:r>
    </w:p>
    <w:p w:rsidR="00F76BE6" w:rsidRPr="00F76BE6" w:rsidRDefault="00F76BE6" w:rsidP="00530790">
      <w:pPr>
        <w:ind w:left="-360" w:firstLine="30"/>
        <w:rPr>
          <w:sz w:val="20"/>
          <w:szCs w:val="20"/>
        </w:rPr>
      </w:pPr>
    </w:p>
    <w:p w:rsidR="00456FBA" w:rsidRDefault="00A14D4E" w:rsidP="00456FBA">
      <w:pPr>
        <w:pStyle w:val="ListParagraph"/>
        <w:numPr>
          <w:ilvl w:val="0"/>
          <w:numId w:val="2"/>
        </w:numPr>
        <w:ind w:left="360"/>
        <w:rPr>
          <w:sz w:val="20"/>
          <w:szCs w:val="20"/>
        </w:rPr>
      </w:pPr>
      <w:r w:rsidRPr="00456FBA">
        <w:rPr>
          <w:sz w:val="20"/>
          <w:szCs w:val="20"/>
        </w:rPr>
        <w:t>FF/VI</w:t>
      </w:r>
      <w:r w:rsidR="00F76BE6" w:rsidRPr="00456FBA">
        <w:rPr>
          <w:sz w:val="20"/>
          <w:szCs w:val="20"/>
        </w:rPr>
        <w:t xml:space="preserve"> is administered via a breath-actuated multi-dose dry powder inhaler</w:t>
      </w:r>
      <w:r w:rsidR="00950FDA" w:rsidRPr="00456FBA">
        <w:rPr>
          <w:sz w:val="20"/>
          <w:szCs w:val="20"/>
        </w:rPr>
        <w:t>.</w:t>
      </w:r>
      <w:r w:rsidR="00F76BE6" w:rsidRPr="00456FBA">
        <w:rPr>
          <w:sz w:val="20"/>
          <w:szCs w:val="20"/>
        </w:rPr>
        <w:t xml:space="preserve"> </w:t>
      </w:r>
      <w:r w:rsidR="00950FDA" w:rsidRPr="00456FBA">
        <w:rPr>
          <w:sz w:val="20"/>
          <w:szCs w:val="20"/>
        </w:rPr>
        <w:t xml:space="preserve"> </w:t>
      </w:r>
      <w:r w:rsidR="00F76BE6" w:rsidRPr="00456FBA">
        <w:rPr>
          <w:sz w:val="20"/>
          <w:szCs w:val="20"/>
        </w:rPr>
        <w:t xml:space="preserve">The dose is </w:t>
      </w:r>
      <w:r w:rsidR="00456FBA">
        <w:rPr>
          <w:sz w:val="20"/>
          <w:szCs w:val="20"/>
        </w:rPr>
        <w:t xml:space="preserve">100/25mcg once daily.  </w:t>
      </w:r>
    </w:p>
    <w:p w:rsidR="00456FBA" w:rsidRPr="00456FBA" w:rsidRDefault="00456FBA" w:rsidP="00456FBA">
      <w:pPr>
        <w:pStyle w:val="ListParagraph"/>
        <w:rPr>
          <w:sz w:val="20"/>
          <w:szCs w:val="20"/>
        </w:rPr>
      </w:pPr>
    </w:p>
    <w:p w:rsidR="00530790" w:rsidRPr="00456FBA" w:rsidRDefault="00F76BE6" w:rsidP="00456FBA">
      <w:pPr>
        <w:pStyle w:val="ListParagraph"/>
        <w:numPr>
          <w:ilvl w:val="0"/>
          <w:numId w:val="2"/>
        </w:numPr>
        <w:ind w:left="360"/>
        <w:rPr>
          <w:sz w:val="20"/>
          <w:szCs w:val="20"/>
        </w:rPr>
      </w:pPr>
      <w:r w:rsidRPr="00456FBA">
        <w:rPr>
          <w:sz w:val="20"/>
          <w:szCs w:val="20"/>
        </w:rPr>
        <w:t xml:space="preserve">There </w:t>
      </w:r>
      <w:r w:rsidR="00950FDA" w:rsidRPr="00456FBA">
        <w:rPr>
          <w:sz w:val="20"/>
          <w:szCs w:val="20"/>
        </w:rPr>
        <w:t>are 4 primary studies (two 6-month</w:t>
      </w:r>
      <w:r w:rsidRPr="00456FBA">
        <w:rPr>
          <w:sz w:val="20"/>
          <w:szCs w:val="20"/>
        </w:rPr>
        <w:t xml:space="preserve"> and</w:t>
      </w:r>
      <w:r w:rsidR="00950FDA" w:rsidRPr="00456FBA">
        <w:rPr>
          <w:sz w:val="20"/>
          <w:szCs w:val="20"/>
        </w:rPr>
        <w:t xml:space="preserve"> two 1-year</w:t>
      </w:r>
      <w:r w:rsidRPr="00456FBA">
        <w:rPr>
          <w:sz w:val="20"/>
          <w:szCs w:val="20"/>
        </w:rPr>
        <w:t xml:space="preserve">) conducted in patients with COPD </w:t>
      </w:r>
      <w:r w:rsidR="001E3B4C" w:rsidRPr="00456FBA">
        <w:rPr>
          <w:sz w:val="20"/>
          <w:szCs w:val="20"/>
        </w:rPr>
        <w:t xml:space="preserve">comparing 3 strengths of FF/VI (200/25, 100/25, and 50/25), the individual components, and placebo.  </w:t>
      </w:r>
      <w:r w:rsidR="00456FBA" w:rsidRPr="00456FBA">
        <w:rPr>
          <w:sz w:val="20"/>
          <w:szCs w:val="20"/>
        </w:rPr>
        <w:t xml:space="preserve">The primary endpoints for the 6-month trials were mean FEV1 0-4 hours post-dose and change from baseline trough FEV1.  </w:t>
      </w:r>
      <w:r w:rsidR="00456FBA">
        <w:rPr>
          <w:sz w:val="20"/>
          <w:szCs w:val="20"/>
        </w:rPr>
        <w:t>F</w:t>
      </w:r>
      <w:r w:rsidR="00456FBA" w:rsidRPr="00456FBA">
        <w:rPr>
          <w:sz w:val="20"/>
          <w:szCs w:val="20"/>
        </w:rPr>
        <w:t xml:space="preserve">or the 1-year trials, </w:t>
      </w:r>
      <w:r w:rsidR="00456FBA">
        <w:rPr>
          <w:sz w:val="20"/>
          <w:szCs w:val="20"/>
        </w:rPr>
        <w:t xml:space="preserve">the primary outcome was </w:t>
      </w:r>
      <w:r w:rsidR="00456FBA" w:rsidRPr="00456FBA">
        <w:rPr>
          <w:sz w:val="20"/>
          <w:szCs w:val="20"/>
        </w:rPr>
        <w:t xml:space="preserve">the annual rate of moderate and severe COPD exacerbations. </w:t>
      </w:r>
      <w:r w:rsidR="00172BE6" w:rsidRPr="00456FBA">
        <w:rPr>
          <w:sz w:val="20"/>
          <w:szCs w:val="20"/>
        </w:rPr>
        <w:t xml:space="preserve">At the time of this writing, only </w:t>
      </w:r>
      <w:r w:rsidR="007632E1" w:rsidRPr="00456FBA">
        <w:rPr>
          <w:sz w:val="20"/>
          <w:szCs w:val="20"/>
        </w:rPr>
        <w:t>the two 6-month trials have been published.</w:t>
      </w:r>
    </w:p>
    <w:p w:rsidR="00950FDA" w:rsidRPr="00950FDA" w:rsidRDefault="00950FDA" w:rsidP="00950FDA">
      <w:pPr>
        <w:rPr>
          <w:color w:val="365F91" w:themeColor="accent1" w:themeShade="BF"/>
          <w:sz w:val="20"/>
          <w:szCs w:val="20"/>
        </w:rPr>
      </w:pPr>
    </w:p>
    <w:p w:rsidR="00530790" w:rsidRPr="005B3080" w:rsidRDefault="005B3080" w:rsidP="006C2B1B">
      <w:pPr>
        <w:pStyle w:val="ListParagraph"/>
        <w:numPr>
          <w:ilvl w:val="0"/>
          <w:numId w:val="5"/>
        </w:numPr>
        <w:rPr>
          <w:color w:val="000000" w:themeColor="text1"/>
          <w:sz w:val="20"/>
          <w:szCs w:val="20"/>
        </w:rPr>
      </w:pPr>
      <w:r w:rsidRPr="005B3080">
        <w:rPr>
          <w:color w:val="000000" w:themeColor="text1"/>
          <w:sz w:val="20"/>
          <w:szCs w:val="20"/>
        </w:rPr>
        <w:t xml:space="preserve">In the 6-month trials, the mean treatment difference between FF/VI 100/25 and </w:t>
      </w:r>
      <w:r w:rsidR="00530790" w:rsidRPr="005B3080">
        <w:rPr>
          <w:color w:val="000000" w:themeColor="text1"/>
          <w:sz w:val="20"/>
          <w:szCs w:val="20"/>
        </w:rPr>
        <w:t xml:space="preserve">placebo </w:t>
      </w:r>
      <w:r w:rsidRPr="005B3080">
        <w:rPr>
          <w:color w:val="000000" w:themeColor="text1"/>
          <w:sz w:val="20"/>
          <w:szCs w:val="20"/>
        </w:rPr>
        <w:t>was 173 and 214mL</w:t>
      </w:r>
      <w:r>
        <w:rPr>
          <w:color w:val="000000" w:themeColor="text1"/>
          <w:sz w:val="20"/>
          <w:szCs w:val="20"/>
        </w:rPr>
        <w:t>.  The mean treatment difference for trough FEV1 was 115 and 144mL.  The magnitude of change versus the individual components was smaller.</w:t>
      </w:r>
    </w:p>
    <w:p w:rsidR="00395B07" w:rsidRPr="005B3080" w:rsidRDefault="00530790" w:rsidP="00395B07">
      <w:pPr>
        <w:pStyle w:val="ListParagraph"/>
        <w:numPr>
          <w:ilvl w:val="0"/>
          <w:numId w:val="5"/>
        </w:numPr>
        <w:rPr>
          <w:color w:val="000000" w:themeColor="text1"/>
          <w:sz w:val="20"/>
          <w:szCs w:val="20"/>
        </w:rPr>
      </w:pPr>
      <w:r w:rsidRPr="00395B07">
        <w:rPr>
          <w:color w:val="000000" w:themeColor="text1"/>
          <w:sz w:val="20"/>
          <w:szCs w:val="20"/>
        </w:rPr>
        <w:t xml:space="preserve">Average rescue inhaler use was reduced by </w:t>
      </w:r>
      <w:r w:rsidR="00395B07" w:rsidRPr="00395B07">
        <w:rPr>
          <w:color w:val="000000" w:themeColor="text1"/>
          <w:sz w:val="20"/>
          <w:szCs w:val="20"/>
        </w:rPr>
        <w:t xml:space="preserve">0.71-0.89 </w:t>
      </w:r>
      <w:r w:rsidRPr="00395B07">
        <w:rPr>
          <w:color w:val="000000" w:themeColor="text1"/>
          <w:sz w:val="20"/>
          <w:szCs w:val="20"/>
        </w:rPr>
        <w:t>puff</w:t>
      </w:r>
      <w:r w:rsidR="00A849C3" w:rsidRPr="00395B07">
        <w:rPr>
          <w:color w:val="000000" w:themeColor="text1"/>
          <w:sz w:val="20"/>
          <w:szCs w:val="20"/>
        </w:rPr>
        <w:t>s</w:t>
      </w:r>
      <w:r w:rsidRPr="00395B07">
        <w:rPr>
          <w:color w:val="000000" w:themeColor="text1"/>
          <w:sz w:val="20"/>
          <w:szCs w:val="20"/>
        </w:rPr>
        <w:t xml:space="preserve">/day with </w:t>
      </w:r>
      <w:r w:rsidR="00395B07" w:rsidRPr="00395B07">
        <w:rPr>
          <w:color w:val="000000" w:themeColor="text1"/>
          <w:sz w:val="20"/>
          <w:szCs w:val="20"/>
        </w:rPr>
        <w:t xml:space="preserve">FF/VI 100/25 compared to placebo. </w:t>
      </w:r>
      <w:r w:rsidR="00395B07">
        <w:rPr>
          <w:color w:val="000000" w:themeColor="text1"/>
          <w:sz w:val="20"/>
          <w:szCs w:val="20"/>
        </w:rPr>
        <w:t>The magnitude of change versus the individual components was smaller.</w:t>
      </w:r>
    </w:p>
    <w:p w:rsidR="006C0B8F" w:rsidRPr="00395B07" w:rsidRDefault="00672383" w:rsidP="006C0B8F">
      <w:pPr>
        <w:pStyle w:val="ListParagraph"/>
        <w:numPr>
          <w:ilvl w:val="0"/>
          <w:numId w:val="5"/>
        </w:numPr>
        <w:rPr>
          <w:color w:val="000000" w:themeColor="text1"/>
          <w:sz w:val="20"/>
          <w:szCs w:val="20"/>
        </w:rPr>
      </w:pPr>
      <w:r w:rsidRPr="00395B07">
        <w:rPr>
          <w:color w:val="000000" w:themeColor="text1"/>
          <w:sz w:val="20"/>
          <w:szCs w:val="20"/>
        </w:rPr>
        <w:t>Greater improvement in symptoms (e.g., cough, sputum, breathlessness, nighttime awakening due to COPD, symptom, rescue-free days, etc.) was observed with FF/VI 100/25 compared to placebo</w:t>
      </w:r>
      <w:r w:rsidR="00395B07">
        <w:rPr>
          <w:color w:val="000000" w:themeColor="text1"/>
          <w:sz w:val="20"/>
          <w:szCs w:val="20"/>
        </w:rPr>
        <w:t>.  Significance versus the individual components varied between studies and symptoms</w:t>
      </w:r>
    </w:p>
    <w:p w:rsidR="006C0B8F" w:rsidRDefault="006C0B8F" w:rsidP="006C0B8F">
      <w:pPr>
        <w:pStyle w:val="ListParagraph"/>
        <w:numPr>
          <w:ilvl w:val="0"/>
          <w:numId w:val="5"/>
        </w:numPr>
        <w:rPr>
          <w:sz w:val="20"/>
          <w:szCs w:val="20"/>
        </w:rPr>
      </w:pPr>
      <w:r w:rsidRPr="0054625D">
        <w:rPr>
          <w:sz w:val="20"/>
          <w:szCs w:val="20"/>
        </w:rPr>
        <w:t>Dyspnea was assessed in the 6-month trials using the dyspnea domain of the Chronic Respiratory Questionnaire Self-Administered Standardized (CRQ-SAS). The minimal clinically important difference is considered to be 0.5 units.  None of the comparisons achieved this difference.</w:t>
      </w:r>
    </w:p>
    <w:p w:rsidR="007710A5" w:rsidRPr="0054625D" w:rsidRDefault="007710A5" w:rsidP="006C0B8F">
      <w:pPr>
        <w:pStyle w:val="ListParagraph"/>
        <w:numPr>
          <w:ilvl w:val="0"/>
          <w:numId w:val="5"/>
        </w:numPr>
        <w:rPr>
          <w:sz w:val="20"/>
          <w:szCs w:val="20"/>
        </w:rPr>
      </w:pPr>
      <w:r>
        <w:rPr>
          <w:sz w:val="20"/>
          <w:szCs w:val="20"/>
        </w:rPr>
        <w:t xml:space="preserve">In the 1-year exacerbation trials, the mean annual rate of exacerbation in study 102970 was 0.9 with the approved dose of FF/VI versus 1.14 with vilanterol alone.  In study 102871, the rates were 0.70 and 1.05 </w:t>
      </w:r>
      <w:proofErr w:type="spellStart"/>
      <w:r>
        <w:rPr>
          <w:sz w:val="20"/>
          <w:szCs w:val="20"/>
        </w:rPr>
        <w:t>respectivley</w:t>
      </w:r>
      <w:proofErr w:type="spellEnd"/>
      <w:r>
        <w:rPr>
          <w:sz w:val="20"/>
          <w:szCs w:val="20"/>
        </w:rPr>
        <w:t>.</w:t>
      </w:r>
    </w:p>
    <w:p w:rsidR="00456FBA" w:rsidRPr="00BC2DFD" w:rsidRDefault="00456FBA" w:rsidP="00EA5310">
      <w:pPr>
        <w:pStyle w:val="ListParagraph"/>
        <w:rPr>
          <w:color w:val="365F91" w:themeColor="accent1" w:themeShade="BF"/>
          <w:sz w:val="20"/>
          <w:szCs w:val="20"/>
        </w:rPr>
      </w:pPr>
    </w:p>
    <w:p w:rsidR="0090463E" w:rsidRPr="0090463E" w:rsidRDefault="008B5208" w:rsidP="0090463E">
      <w:pPr>
        <w:pStyle w:val="ListParagraph"/>
        <w:numPr>
          <w:ilvl w:val="0"/>
          <w:numId w:val="4"/>
        </w:numPr>
        <w:rPr>
          <w:color w:val="365F91" w:themeColor="accent1" w:themeShade="BF"/>
          <w:sz w:val="20"/>
          <w:szCs w:val="20"/>
        </w:rPr>
      </w:pPr>
      <w:r w:rsidRPr="008B5208">
        <w:rPr>
          <w:sz w:val="20"/>
          <w:szCs w:val="20"/>
        </w:rPr>
        <w:t xml:space="preserve">There are 3 supportive studies of 3-months duration that compared the marketed strength of FF/VI 100/25 to fluticasone/salmeterol 250/50 and 500/50.  </w:t>
      </w:r>
      <w:r w:rsidR="00EA5310" w:rsidRPr="008B5208">
        <w:rPr>
          <w:sz w:val="20"/>
          <w:szCs w:val="20"/>
        </w:rPr>
        <w:t xml:space="preserve">Pulmonary function studies </w:t>
      </w:r>
      <w:r w:rsidRPr="008B5208">
        <w:rPr>
          <w:sz w:val="20"/>
          <w:szCs w:val="20"/>
        </w:rPr>
        <w:t xml:space="preserve">(FEV1 0-24 hours) </w:t>
      </w:r>
      <w:r w:rsidR="00EA5310" w:rsidRPr="008B5208">
        <w:rPr>
          <w:sz w:val="20"/>
          <w:szCs w:val="20"/>
        </w:rPr>
        <w:t>showed</w:t>
      </w:r>
      <w:r w:rsidR="0054625D">
        <w:rPr>
          <w:sz w:val="20"/>
          <w:szCs w:val="20"/>
        </w:rPr>
        <w:t xml:space="preserve"> t</w:t>
      </w:r>
      <w:r w:rsidRPr="008B5208">
        <w:rPr>
          <w:sz w:val="20"/>
          <w:szCs w:val="20"/>
        </w:rPr>
        <w:t xml:space="preserve">he treatment difference was </w:t>
      </w:r>
      <w:r w:rsidR="0054625D">
        <w:rPr>
          <w:sz w:val="20"/>
          <w:szCs w:val="20"/>
        </w:rPr>
        <w:t>statistically significant in 1</w:t>
      </w:r>
      <w:r w:rsidRPr="008B5208">
        <w:rPr>
          <w:sz w:val="20"/>
          <w:szCs w:val="20"/>
        </w:rPr>
        <w:t xml:space="preserve"> of the 3 trials.  </w:t>
      </w:r>
    </w:p>
    <w:p w:rsidR="0090463E" w:rsidRPr="0090463E" w:rsidRDefault="0090463E" w:rsidP="0090463E">
      <w:pPr>
        <w:pStyle w:val="ListParagraph"/>
        <w:ind w:left="360"/>
        <w:rPr>
          <w:color w:val="365F91" w:themeColor="accent1" w:themeShade="BF"/>
          <w:sz w:val="20"/>
          <w:szCs w:val="20"/>
        </w:rPr>
      </w:pPr>
    </w:p>
    <w:p w:rsidR="008B5208" w:rsidRPr="0090463E" w:rsidRDefault="0090463E" w:rsidP="0090463E">
      <w:pPr>
        <w:pStyle w:val="ListParagraph"/>
        <w:numPr>
          <w:ilvl w:val="0"/>
          <w:numId w:val="4"/>
        </w:numPr>
        <w:rPr>
          <w:sz w:val="20"/>
          <w:szCs w:val="20"/>
        </w:rPr>
      </w:pPr>
      <w:r w:rsidRPr="0090463E">
        <w:rPr>
          <w:sz w:val="20"/>
          <w:szCs w:val="20"/>
        </w:rPr>
        <w:t>In the 6-month trials, the incidence of any treatment-related adverse events (AEs), discontinuations due to AEs, or serious AEs were similar between FF/VI 100/25 and the individual components and placebo; for the 1-year trials, the incidence for FF/VI 100/25 was similar to VI 25 alone.  There incidence of AEs in the 1-year trials was higher than that of the 6-month trials.</w:t>
      </w:r>
    </w:p>
    <w:p w:rsidR="008B5208" w:rsidRPr="0090463E" w:rsidRDefault="008B5208" w:rsidP="008B5208">
      <w:pPr>
        <w:pStyle w:val="ListParagraph"/>
        <w:ind w:left="360"/>
        <w:rPr>
          <w:sz w:val="20"/>
          <w:szCs w:val="20"/>
        </w:rPr>
      </w:pPr>
    </w:p>
    <w:p w:rsidR="0090463E" w:rsidRDefault="00672383" w:rsidP="0090463E">
      <w:pPr>
        <w:pStyle w:val="ListParagraph"/>
        <w:numPr>
          <w:ilvl w:val="0"/>
          <w:numId w:val="4"/>
        </w:numPr>
        <w:rPr>
          <w:sz w:val="20"/>
          <w:szCs w:val="20"/>
        </w:rPr>
      </w:pPr>
      <w:r w:rsidRPr="0090463E">
        <w:rPr>
          <w:sz w:val="20"/>
          <w:szCs w:val="20"/>
        </w:rPr>
        <w:t>A</w:t>
      </w:r>
      <w:r w:rsidR="009322A1" w:rsidRPr="0090463E">
        <w:rPr>
          <w:sz w:val="20"/>
          <w:szCs w:val="20"/>
        </w:rPr>
        <w:t xml:space="preserve">dverse events </w:t>
      </w:r>
      <w:r w:rsidRPr="0090463E">
        <w:rPr>
          <w:sz w:val="20"/>
          <w:szCs w:val="20"/>
        </w:rPr>
        <w:t>with an incidence of ≥3</w:t>
      </w:r>
      <w:r w:rsidR="003C0F5B" w:rsidRPr="0090463E">
        <w:rPr>
          <w:sz w:val="20"/>
          <w:szCs w:val="20"/>
        </w:rPr>
        <w:t xml:space="preserve">% </w:t>
      </w:r>
      <w:r w:rsidRPr="0090463E">
        <w:rPr>
          <w:sz w:val="20"/>
          <w:szCs w:val="20"/>
        </w:rPr>
        <w:t>that were common to both the 6-month and 1-year trials were nasopharyngitis, headache, upper respiratory tract infection, and oral/</w:t>
      </w:r>
      <w:proofErr w:type="spellStart"/>
      <w:r w:rsidRPr="0090463E">
        <w:rPr>
          <w:sz w:val="20"/>
          <w:szCs w:val="20"/>
        </w:rPr>
        <w:t>oropharyngeal</w:t>
      </w:r>
      <w:proofErr w:type="spellEnd"/>
      <w:r w:rsidRPr="0090463E">
        <w:rPr>
          <w:sz w:val="20"/>
          <w:szCs w:val="20"/>
        </w:rPr>
        <w:t xml:space="preserve"> candidiasis.</w:t>
      </w:r>
    </w:p>
    <w:p w:rsidR="00586650" w:rsidRPr="00586650" w:rsidRDefault="00586650" w:rsidP="00586650">
      <w:pPr>
        <w:pStyle w:val="ListParagraph"/>
        <w:rPr>
          <w:sz w:val="20"/>
          <w:szCs w:val="20"/>
        </w:rPr>
      </w:pPr>
    </w:p>
    <w:p w:rsidR="00586650" w:rsidRDefault="00586650" w:rsidP="00586650">
      <w:pPr>
        <w:pStyle w:val="ListParagraph"/>
        <w:numPr>
          <w:ilvl w:val="0"/>
          <w:numId w:val="4"/>
        </w:numPr>
        <w:rPr>
          <w:sz w:val="20"/>
          <w:szCs w:val="20"/>
        </w:rPr>
      </w:pPr>
      <w:r w:rsidRPr="00586650">
        <w:rPr>
          <w:sz w:val="20"/>
          <w:szCs w:val="20"/>
        </w:rPr>
        <w:lastRenderedPageBreak/>
        <w:t>The incidence of pneumonia in the 1-year trials was 5.9-6.8% (all FF/VI doses) versus 3.3% with vilanterol alone in the 1-year trials.  Pneumonia was fatal in 1 patient receiving FF/VI 100/25 and 7 receiving FF/VI 200/25.</w:t>
      </w:r>
    </w:p>
    <w:p w:rsidR="00586650" w:rsidRPr="00586650" w:rsidRDefault="00586650" w:rsidP="00586650">
      <w:pPr>
        <w:pStyle w:val="ListParagraph"/>
        <w:rPr>
          <w:sz w:val="20"/>
          <w:szCs w:val="20"/>
        </w:rPr>
      </w:pPr>
    </w:p>
    <w:p w:rsidR="00586650" w:rsidRDefault="00586650" w:rsidP="00586650">
      <w:pPr>
        <w:pStyle w:val="ListParagraph"/>
        <w:numPr>
          <w:ilvl w:val="0"/>
          <w:numId w:val="4"/>
        </w:numPr>
        <w:rPr>
          <w:sz w:val="20"/>
          <w:szCs w:val="20"/>
        </w:rPr>
      </w:pPr>
      <w:r w:rsidRPr="00DA738E">
        <w:rPr>
          <w:sz w:val="20"/>
          <w:szCs w:val="20"/>
        </w:rPr>
        <w:t>There was a higher incidence of bone fracture in patients receiving FF/VI (2% each in the 50/25, 100/25, and 200/25 groups vs. 1% vilanterol alone). Typically, corticosteroid-associated fractures tend to occur in the lumbar/thoracic spine or pelvis/hip.</w:t>
      </w:r>
      <w:r>
        <w:rPr>
          <w:sz w:val="20"/>
          <w:szCs w:val="20"/>
        </w:rPr>
        <w:t xml:space="preserve">  </w:t>
      </w:r>
      <w:r w:rsidRPr="00DA738E">
        <w:rPr>
          <w:sz w:val="20"/>
          <w:szCs w:val="20"/>
        </w:rPr>
        <w:t xml:space="preserve">The majority of fractures </w:t>
      </w:r>
      <w:r>
        <w:rPr>
          <w:sz w:val="20"/>
          <w:szCs w:val="20"/>
        </w:rPr>
        <w:t xml:space="preserve">reported in the FF/VI trials </w:t>
      </w:r>
      <w:r w:rsidRPr="00DA738E">
        <w:rPr>
          <w:sz w:val="20"/>
          <w:szCs w:val="20"/>
        </w:rPr>
        <w:t xml:space="preserve">were considered to be traumatic and occurred mainly in the upper and lower extremities.  </w:t>
      </w:r>
    </w:p>
    <w:p w:rsidR="00586650" w:rsidRPr="00586650" w:rsidRDefault="00586650" w:rsidP="00586650">
      <w:pPr>
        <w:pStyle w:val="ListParagraph"/>
        <w:rPr>
          <w:sz w:val="20"/>
          <w:szCs w:val="20"/>
        </w:rPr>
      </w:pPr>
    </w:p>
    <w:p w:rsidR="00586650" w:rsidRPr="00586650" w:rsidRDefault="00586650" w:rsidP="00586650">
      <w:pPr>
        <w:pStyle w:val="ListParagraph"/>
        <w:numPr>
          <w:ilvl w:val="0"/>
          <w:numId w:val="4"/>
        </w:numPr>
        <w:rPr>
          <w:sz w:val="20"/>
          <w:szCs w:val="20"/>
        </w:rPr>
      </w:pPr>
      <w:r w:rsidRPr="00586650">
        <w:rPr>
          <w:sz w:val="20"/>
          <w:szCs w:val="20"/>
        </w:rPr>
        <w:t xml:space="preserve">Cardiac:  In the 6-month trials, mean maximum post-baseline changes in </w:t>
      </w:r>
      <w:proofErr w:type="spellStart"/>
      <w:proofErr w:type="gramStart"/>
      <w:r w:rsidRPr="00586650">
        <w:rPr>
          <w:sz w:val="20"/>
          <w:szCs w:val="20"/>
        </w:rPr>
        <w:t>QTc</w:t>
      </w:r>
      <w:proofErr w:type="spellEnd"/>
      <w:r w:rsidRPr="00586650">
        <w:rPr>
          <w:sz w:val="20"/>
          <w:szCs w:val="20"/>
        </w:rPr>
        <w:t>(</w:t>
      </w:r>
      <w:proofErr w:type="gramEnd"/>
      <w:r w:rsidRPr="00586650">
        <w:rPr>
          <w:sz w:val="20"/>
          <w:szCs w:val="20"/>
        </w:rPr>
        <w:t xml:space="preserve">F) and percentage of patients with  </w:t>
      </w:r>
      <w:proofErr w:type="spellStart"/>
      <w:r w:rsidRPr="00586650">
        <w:rPr>
          <w:sz w:val="20"/>
          <w:szCs w:val="20"/>
        </w:rPr>
        <w:t>QTc</w:t>
      </w:r>
      <w:proofErr w:type="spellEnd"/>
      <w:r w:rsidRPr="00586650">
        <w:rPr>
          <w:sz w:val="20"/>
          <w:szCs w:val="20"/>
        </w:rPr>
        <w:t xml:space="preserve">(F) &gt; 30msec were similar for all active treatments and placebo.  No patient had a </w:t>
      </w:r>
      <w:proofErr w:type="spellStart"/>
      <w:proofErr w:type="gramStart"/>
      <w:r w:rsidRPr="00586650">
        <w:rPr>
          <w:sz w:val="20"/>
          <w:szCs w:val="20"/>
        </w:rPr>
        <w:t>QTc</w:t>
      </w:r>
      <w:proofErr w:type="spellEnd"/>
      <w:r w:rsidRPr="00586650">
        <w:rPr>
          <w:sz w:val="20"/>
          <w:szCs w:val="20"/>
        </w:rPr>
        <w:t>(</w:t>
      </w:r>
      <w:proofErr w:type="gramEnd"/>
      <w:r w:rsidRPr="00586650">
        <w:rPr>
          <w:sz w:val="20"/>
          <w:szCs w:val="20"/>
        </w:rPr>
        <w:t>F) &gt; 500msec.  Similar results were observed in the active treatment groups in the 1-year trials.</w:t>
      </w:r>
      <w:r>
        <w:rPr>
          <w:sz w:val="20"/>
          <w:szCs w:val="20"/>
        </w:rPr>
        <w:t xml:space="preserve"> </w:t>
      </w:r>
      <w:r w:rsidRPr="00586650">
        <w:rPr>
          <w:sz w:val="20"/>
          <w:szCs w:val="20"/>
        </w:rPr>
        <w:t xml:space="preserve">Approximately half the patients in the 6-month trials underwent 24-hour </w:t>
      </w:r>
      <w:proofErr w:type="spellStart"/>
      <w:r w:rsidRPr="00586650">
        <w:rPr>
          <w:sz w:val="20"/>
          <w:szCs w:val="20"/>
        </w:rPr>
        <w:t>Holter</w:t>
      </w:r>
      <w:proofErr w:type="spellEnd"/>
      <w:r w:rsidRPr="00586650">
        <w:rPr>
          <w:sz w:val="20"/>
          <w:szCs w:val="20"/>
        </w:rPr>
        <w:t xml:space="preserve"> monitoring.  The frequency of abnormalities of potential clinical significance was 13-15% (all FF/VI groups), 11% (VI only), 6-14% (FF only), and 10% (placebo).</w:t>
      </w:r>
    </w:p>
    <w:p w:rsidR="00586650" w:rsidRPr="00586650" w:rsidRDefault="00586650" w:rsidP="00586650">
      <w:pPr>
        <w:pStyle w:val="ListParagraph"/>
        <w:ind w:left="360"/>
        <w:rPr>
          <w:sz w:val="20"/>
          <w:szCs w:val="20"/>
        </w:rPr>
      </w:pPr>
    </w:p>
    <w:p w:rsidR="002A541C" w:rsidRPr="002A541C" w:rsidRDefault="002A541C" w:rsidP="002A541C">
      <w:pPr>
        <w:pStyle w:val="ListParagraph"/>
        <w:numPr>
          <w:ilvl w:val="0"/>
          <w:numId w:val="4"/>
        </w:numPr>
        <w:rPr>
          <w:sz w:val="20"/>
          <w:szCs w:val="20"/>
        </w:rPr>
      </w:pPr>
      <w:r w:rsidRPr="002A541C">
        <w:rPr>
          <w:sz w:val="20"/>
          <w:szCs w:val="20"/>
        </w:rPr>
        <w:t>The only comparative safety data available at this time is from the 12-week trial comparing FF/VI 100/25 QD to FP/SAL 500/50 BID.  The AE profiles were similar although more local steroid effects were seen with FP/SAL (4% vs. 1%) and more CV effects were seen with FF/VI (3% vs. &lt;1%).</w:t>
      </w:r>
    </w:p>
    <w:p w:rsidR="002A541C" w:rsidRPr="0090463E" w:rsidRDefault="002A541C" w:rsidP="002A541C">
      <w:pPr>
        <w:pStyle w:val="ListParagraph"/>
        <w:ind w:left="360"/>
        <w:rPr>
          <w:sz w:val="20"/>
          <w:szCs w:val="20"/>
        </w:rPr>
      </w:pPr>
    </w:p>
    <w:p w:rsidR="00A743BD" w:rsidRPr="0086020F" w:rsidRDefault="00871911" w:rsidP="00136203">
      <w:pPr>
        <w:pStyle w:val="ListParagraph"/>
        <w:numPr>
          <w:ilvl w:val="0"/>
          <w:numId w:val="4"/>
        </w:numPr>
        <w:rPr>
          <w:sz w:val="20"/>
          <w:szCs w:val="20"/>
        </w:rPr>
      </w:pPr>
      <w:r w:rsidRPr="0086020F">
        <w:rPr>
          <w:sz w:val="20"/>
          <w:szCs w:val="20"/>
        </w:rPr>
        <w:t xml:space="preserve">Fluticasone/vilanterol has the advantage of once daily dosing; however, long-term data and </w:t>
      </w:r>
      <w:r w:rsidR="0086020F" w:rsidRPr="0086020F">
        <w:rPr>
          <w:sz w:val="20"/>
          <w:szCs w:val="20"/>
        </w:rPr>
        <w:t xml:space="preserve">comparative studies are limited. </w:t>
      </w:r>
    </w:p>
    <w:p w:rsidR="001B15A9" w:rsidRPr="00E11107" w:rsidRDefault="001B15A9" w:rsidP="001B15A9">
      <w:pPr>
        <w:pStyle w:val="ListParagraph"/>
        <w:rPr>
          <w:color w:val="365F91" w:themeColor="accent1" w:themeShade="BF"/>
          <w:sz w:val="20"/>
          <w:szCs w:val="20"/>
        </w:rPr>
      </w:pPr>
    </w:p>
    <w:p w:rsidR="000A3F76" w:rsidRPr="00D5137F" w:rsidRDefault="000A3F76">
      <w:pPr>
        <w:rPr>
          <w:b/>
          <w:sz w:val="22"/>
          <w:szCs w:val="22"/>
          <w:u w:val="single"/>
        </w:rPr>
      </w:pPr>
      <w:r w:rsidRPr="00D5137F">
        <w:rPr>
          <w:b/>
          <w:sz w:val="22"/>
          <w:szCs w:val="22"/>
          <w:u w:val="single"/>
        </w:rPr>
        <w:t>Introduction</w:t>
      </w:r>
    </w:p>
    <w:p w:rsidR="00D5137F" w:rsidRDefault="002E6EE5">
      <w:pPr>
        <w:rPr>
          <w:sz w:val="20"/>
          <w:szCs w:val="20"/>
        </w:rPr>
      </w:pPr>
      <w:r>
        <w:rPr>
          <w:sz w:val="20"/>
          <w:szCs w:val="20"/>
        </w:rPr>
        <w:t xml:space="preserve">Fluticasone furoate/vilanterol </w:t>
      </w:r>
      <w:r w:rsidR="00AD6F94">
        <w:rPr>
          <w:sz w:val="20"/>
          <w:szCs w:val="20"/>
        </w:rPr>
        <w:t xml:space="preserve">(FF/VI) </w:t>
      </w:r>
      <w:r>
        <w:rPr>
          <w:sz w:val="20"/>
          <w:szCs w:val="20"/>
        </w:rPr>
        <w:t>is the first combination ICS/LABA inhaler to be dosed once daily.</w:t>
      </w:r>
      <w:r w:rsidR="00F97C38">
        <w:rPr>
          <w:sz w:val="20"/>
          <w:szCs w:val="20"/>
        </w:rPr>
        <w:t xml:space="preserve">  </w:t>
      </w:r>
      <w:r w:rsidR="00553584">
        <w:rPr>
          <w:sz w:val="20"/>
          <w:szCs w:val="20"/>
        </w:rPr>
        <w:t xml:space="preserve">This is a new salt form for fluticasone </w:t>
      </w:r>
      <w:r w:rsidR="00AD6F94">
        <w:rPr>
          <w:sz w:val="20"/>
          <w:szCs w:val="20"/>
        </w:rPr>
        <w:t>allowing for once daily administration (fluticasone propionate is administered twice daily) and v</w:t>
      </w:r>
      <w:r w:rsidR="00F97C38">
        <w:rPr>
          <w:sz w:val="20"/>
          <w:szCs w:val="20"/>
        </w:rPr>
        <w:t>ilanterol is a novel LABA</w:t>
      </w:r>
      <w:r w:rsidR="00AD6F94">
        <w:rPr>
          <w:sz w:val="20"/>
          <w:szCs w:val="20"/>
        </w:rPr>
        <w:t>.  These 2 drugs are available in the US as a combination product and not as their separate entities.</w:t>
      </w:r>
    </w:p>
    <w:p w:rsidR="002E6EE5" w:rsidRDefault="002E6EE5">
      <w:pPr>
        <w:rPr>
          <w:sz w:val="22"/>
          <w:szCs w:val="22"/>
        </w:rPr>
      </w:pPr>
    </w:p>
    <w:p w:rsidR="000A3F76" w:rsidRPr="00A60FDA" w:rsidRDefault="000A3F76">
      <w:pPr>
        <w:rPr>
          <w:b/>
          <w:sz w:val="22"/>
          <w:szCs w:val="22"/>
          <w:u w:val="single"/>
        </w:rPr>
      </w:pPr>
      <w:r w:rsidRPr="00BC0CA6">
        <w:rPr>
          <w:b/>
          <w:sz w:val="22"/>
          <w:szCs w:val="22"/>
          <w:u w:val="single"/>
        </w:rPr>
        <w:t>Pharmacokinetics</w:t>
      </w:r>
    </w:p>
    <w:p w:rsidR="00A506C4" w:rsidRDefault="00A506C4">
      <w:pPr>
        <w:rPr>
          <w:sz w:val="20"/>
          <w:szCs w:val="20"/>
        </w:rPr>
      </w:pPr>
      <w:r>
        <w:rPr>
          <w:sz w:val="20"/>
          <w:szCs w:val="20"/>
        </w:rPr>
        <w:t xml:space="preserve">Pharmacokinetic </w:t>
      </w:r>
      <w:r w:rsidR="00BC0CA6">
        <w:rPr>
          <w:sz w:val="20"/>
          <w:szCs w:val="20"/>
        </w:rPr>
        <w:t xml:space="preserve">parameters are shown in </w:t>
      </w:r>
      <w:r w:rsidR="00BC0CA6" w:rsidRPr="00BC0CA6">
        <w:rPr>
          <w:b/>
          <w:sz w:val="20"/>
          <w:szCs w:val="20"/>
          <w:u w:val="single"/>
        </w:rPr>
        <w:t>Table 1</w:t>
      </w:r>
      <w:r w:rsidR="00BC0CA6">
        <w:rPr>
          <w:sz w:val="20"/>
          <w:szCs w:val="20"/>
        </w:rPr>
        <w:t xml:space="preserve">.  The area under the curve (AUC) for fluticasone was 46% lower in patients with COPD compared to healthy volunteers.  Conversely, AUC for vilanterol was 24% higher in patients with COPD compared to healthy volunteers.  No dosage adjustment </w:t>
      </w:r>
      <w:r w:rsidR="00970B3D">
        <w:rPr>
          <w:sz w:val="20"/>
          <w:szCs w:val="20"/>
        </w:rPr>
        <w:t xml:space="preserve">is needed based on age </w:t>
      </w:r>
      <w:r w:rsidR="00BC0CA6">
        <w:rPr>
          <w:sz w:val="20"/>
          <w:szCs w:val="20"/>
        </w:rPr>
        <w:t>(&gt;65 years), ethnicity, gender renal impairment, or mild hepatic impairment.  Caution should be used in patients with moderate-severe hepatic impairment.</w:t>
      </w:r>
    </w:p>
    <w:p w:rsidR="00E409D1" w:rsidRDefault="00E409D1">
      <w:pPr>
        <w:rPr>
          <w:sz w:val="20"/>
          <w:szCs w:val="20"/>
        </w:rPr>
      </w:pPr>
    </w:p>
    <w:p w:rsidR="00970B3D" w:rsidRPr="00970B3D" w:rsidRDefault="00970B3D">
      <w:pPr>
        <w:rPr>
          <w:rFonts w:asciiTheme="minorHAnsi" w:hAnsiTheme="minorHAnsi"/>
          <w:b/>
          <w:sz w:val="20"/>
          <w:szCs w:val="20"/>
        </w:rPr>
      </w:pPr>
      <w:r w:rsidRPr="00970B3D">
        <w:rPr>
          <w:rFonts w:asciiTheme="minorHAnsi" w:hAnsiTheme="minorHAnsi"/>
          <w:b/>
          <w:sz w:val="20"/>
          <w:szCs w:val="20"/>
        </w:rPr>
        <w:t>Table 1:  Pharmacokinetics of Fluticasone Furoate and Vilanterol</w:t>
      </w:r>
    </w:p>
    <w:tbl>
      <w:tblPr>
        <w:tblStyle w:val="TableGrid"/>
        <w:tblW w:w="0" w:type="auto"/>
        <w:tblLook w:val="04A0" w:firstRow="1" w:lastRow="0" w:firstColumn="1" w:lastColumn="0" w:noHBand="0" w:noVBand="1"/>
      </w:tblPr>
      <w:tblGrid>
        <w:gridCol w:w="2487"/>
        <w:gridCol w:w="2177"/>
        <w:gridCol w:w="2456"/>
        <w:gridCol w:w="2456"/>
      </w:tblGrid>
      <w:tr w:rsidR="00E409D1" w:rsidRPr="00E409D1" w:rsidTr="00BC0CA6">
        <w:tc>
          <w:tcPr>
            <w:tcW w:w="2487" w:type="dxa"/>
            <w:tcBorders>
              <w:left w:val="nil"/>
              <w:right w:val="nil"/>
            </w:tcBorders>
            <w:shd w:val="clear" w:color="auto" w:fill="D9D9D9" w:themeFill="background1" w:themeFillShade="D9"/>
          </w:tcPr>
          <w:p w:rsidR="00E409D1" w:rsidRPr="00E409D1" w:rsidRDefault="00E409D1" w:rsidP="00BC0CA6">
            <w:pPr>
              <w:jc w:val="center"/>
              <w:rPr>
                <w:rFonts w:asciiTheme="minorHAnsi" w:hAnsiTheme="minorHAnsi"/>
                <w:sz w:val="16"/>
                <w:szCs w:val="16"/>
              </w:rPr>
            </w:pPr>
          </w:p>
        </w:tc>
        <w:tc>
          <w:tcPr>
            <w:tcW w:w="2177" w:type="dxa"/>
            <w:tcBorders>
              <w:left w:val="nil"/>
              <w:right w:val="nil"/>
            </w:tcBorders>
            <w:shd w:val="clear" w:color="auto" w:fill="D9D9D9" w:themeFill="background1" w:themeFillShade="D9"/>
          </w:tcPr>
          <w:p w:rsidR="00E409D1" w:rsidRPr="00BC0CA6" w:rsidRDefault="00BC0CA6" w:rsidP="00BC0CA6">
            <w:pPr>
              <w:jc w:val="center"/>
              <w:rPr>
                <w:rFonts w:asciiTheme="minorHAnsi" w:hAnsiTheme="minorHAnsi"/>
                <w:b/>
                <w:sz w:val="16"/>
                <w:szCs w:val="16"/>
              </w:rPr>
            </w:pPr>
            <w:r w:rsidRPr="00BC0CA6">
              <w:rPr>
                <w:rFonts w:asciiTheme="minorHAnsi" w:hAnsiTheme="minorHAnsi"/>
                <w:b/>
                <w:sz w:val="16"/>
                <w:szCs w:val="16"/>
              </w:rPr>
              <w:t>Route of administration</w:t>
            </w:r>
          </w:p>
        </w:tc>
        <w:tc>
          <w:tcPr>
            <w:tcW w:w="2456" w:type="dxa"/>
            <w:tcBorders>
              <w:left w:val="nil"/>
              <w:right w:val="nil"/>
            </w:tcBorders>
            <w:shd w:val="clear" w:color="auto" w:fill="D9D9D9" w:themeFill="background1" w:themeFillShade="D9"/>
          </w:tcPr>
          <w:p w:rsidR="00E409D1" w:rsidRPr="00BC0CA6" w:rsidRDefault="00E409D1" w:rsidP="00BC0CA6">
            <w:pPr>
              <w:jc w:val="center"/>
              <w:rPr>
                <w:rFonts w:asciiTheme="minorHAnsi" w:hAnsiTheme="minorHAnsi"/>
                <w:b/>
                <w:sz w:val="16"/>
                <w:szCs w:val="16"/>
              </w:rPr>
            </w:pPr>
            <w:r w:rsidRPr="00BC0CA6">
              <w:rPr>
                <w:rFonts w:asciiTheme="minorHAnsi" w:hAnsiTheme="minorHAnsi"/>
                <w:b/>
                <w:sz w:val="16"/>
                <w:szCs w:val="16"/>
              </w:rPr>
              <w:t>Fluticasone furoate</w:t>
            </w:r>
          </w:p>
        </w:tc>
        <w:tc>
          <w:tcPr>
            <w:tcW w:w="2456" w:type="dxa"/>
            <w:tcBorders>
              <w:left w:val="nil"/>
              <w:right w:val="nil"/>
            </w:tcBorders>
            <w:shd w:val="clear" w:color="auto" w:fill="D9D9D9" w:themeFill="background1" w:themeFillShade="D9"/>
          </w:tcPr>
          <w:p w:rsidR="00E409D1" w:rsidRPr="00BC0CA6" w:rsidRDefault="00E409D1" w:rsidP="00BC0CA6">
            <w:pPr>
              <w:jc w:val="center"/>
              <w:rPr>
                <w:rFonts w:asciiTheme="minorHAnsi" w:hAnsiTheme="minorHAnsi"/>
                <w:b/>
                <w:sz w:val="16"/>
                <w:szCs w:val="16"/>
              </w:rPr>
            </w:pPr>
            <w:r w:rsidRPr="00BC0CA6">
              <w:rPr>
                <w:rFonts w:asciiTheme="minorHAnsi" w:hAnsiTheme="minorHAnsi"/>
                <w:b/>
                <w:sz w:val="16"/>
                <w:szCs w:val="16"/>
              </w:rPr>
              <w:t>Vilanterol</w:t>
            </w:r>
          </w:p>
        </w:tc>
      </w:tr>
      <w:tr w:rsidR="00E409D1" w:rsidRPr="00E409D1" w:rsidTr="00BC0CA6">
        <w:tc>
          <w:tcPr>
            <w:tcW w:w="2487" w:type="dxa"/>
            <w:tcBorders>
              <w:left w:val="nil"/>
              <w:right w:val="nil"/>
            </w:tcBorders>
          </w:tcPr>
          <w:p w:rsidR="00E409D1" w:rsidRPr="00E409D1" w:rsidRDefault="00E409D1" w:rsidP="00E409D1">
            <w:pPr>
              <w:rPr>
                <w:rFonts w:asciiTheme="minorHAnsi" w:hAnsiTheme="minorHAnsi"/>
                <w:sz w:val="16"/>
                <w:szCs w:val="16"/>
              </w:rPr>
            </w:pPr>
            <w:r>
              <w:rPr>
                <w:rFonts w:asciiTheme="minorHAnsi" w:hAnsiTheme="minorHAnsi"/>
                <w:sz w:val="16"/>
                <w:szCs w:val="16"/>
              </w:rPr>
              <w:t xml:space="preserve">Time to peak plasma concentration </w:t>
            </w:r>
          </w:p>
        </w:tc>
        <w:tc>
          <w:tcPr>
            <w:tcW w:w="2177" w:type="dxa"/>
            <w:tcBorders>
              <w:left w:val="nil"/>
              <w:right w:val="nil"/>
            </w:tcBorders>
            <w:vAlign w:val="center"/>
          </w:tcPr>
          <w:p w:rsidR="00E409D1" w:rsidRDefault="00E409D1" w:rsidP="00BC0CA6">
            <w:pPr>
              <w:rPr>
                <w:rFonts w:asciiTheme="minorHAnsi" w:hAnsiTheme="minorHAnsi"/>
                <w:sz w:val="16"/>
                <w:szCs w:val="16"/>
              </w:rPr>
            </w:pPr>
            <w:r>
              <w:rPr>
                <w:rFonts w:asciiTheme="minorHAnsi" w:hAnsiTheme="minorHAnsi"/>
                <w:sz w:val="16"/>
                <w:szCs w:val="16"/>
              </w:rPr>
              <w:t>Inhaled</w:t>
            </w:r>
          </w:p>
        </w:tc>
        <w:tc>
          <w:tcPr>
            <w:tcW w:w="2456" w:type="dxa"/>
            <w:tcBorders>
              <w:left w:val="nil"/>
              <w:right w:val="nil"/>
            </w:tcBorders>
            <w:vAlign w:val="center"/>
          </w:tcPr>
          <w:p w:rsidR="00E409D1" w:rsidRPr="00E409D1" w:rsidRDefault="00E409D1" w:rsidP="00BC0CA6">
            <w:pPr>
              <w:rPr>
                <w:rFonts w:asciiTheme="minorHAnsi" w:hAnsiTheme="minorHAnsi"/>
                <w:sz w:val="16"/>
                <w:szCs w:val="16"/>
              </w:rPr>
            </w:pPr>
            <w:r>
              <w:rPr>
                <w:rFonts w:asciiTheme="minorHAnsi" w:hAnsiTheme="minorHAnsi"/>
                <w:sz w:val="16"/>
                <w:szCs w:val="16"/>
              </w:rPr>
              <w:t>0.5-1hrs</w:t>
            </w:r>
          </w:p>
        </w:tc>
        <w:tc>
          <w:tcPr>
            <w:tcW w:w="2456" w:type="dxa"/>
            <w:tcBorders>
              <w:left w:val="nil"/>
              <w:right w:val="nil"/>
            </w:tcBorders>
            <w:vAlign w:val="center"/>
          </w:tcPr>
          <w:p w:rsidR="00E409D1" w:rsidRPr="00E409D1" w:rsidRDefault="00E409D1" w:rsidP="00BC0CA6">
            <w:pPr>
              <w:rPr>
                <w:rFonts w:asciiTheme="minorHAnsi" w:hAnsiTheme="minorHAnsi"/>
                <w:sz w:val="16"/>
                <w:szCs w:val="16"/>
              </w:rPr>
            </w:pPr>
            <w:r>
              <w:rPr>
                <w:rFonts w:asciiTheme="minorHAnsi" w:hAnsiTheme="minorHAnsi"/>
                <w:sz w:val="16"/>
                <w:szCs w:val="16"/>
              </w:rPr>
              <w:t>10 min</w:t>
            </w:r>
          </w:p>
        </w:tc>
      </w:tr>
      <w:tr w:rsidR="00E409D1" w:rsidRPr="00E409D1" w:rsidTr="00BC0CA6">
        <w:tc>
          <w:tcPr>
            <w:tcW w:w="2487" w:type="dxa"/>
            <w:tcBorders>
              <w:left w:val="nil"/>
              <w:right w:val="nil"/>
            </w:tcBorders>
          </w:tcPr>
          <w:p w:rsidR="00E409D1" w:rsidRPr="00E409D1" w:rsidRDefault="00E409D1">
            <w:pPr>
              <w:rPr>
                <w:rFonts w:asciiTheme="minorHAnsi" w:hAnsiTheme="minorHAnsi"/>
                <w:sz w:val="16"/>
                <w:szCs w:val="16"/>
              </w:rPr>
            </w:pPr>
            <w:r>
              <w:rPr>
                <w:rFonts w:asciiTheme="minorHAnsi" w:hAnsiTheme="minorHAnsi"/>
                <w:sz w:val="16"/>
                <w:szCs w:val="16"/>
              </w:rPr>
              <w:t>Absolute bioavailability</w:t>
            </w:r>
          </w:p>
        </w:tc>
        <w:tc>
          <w:tcPr>
            <w:tcW w:w="2177" w:type="dxa"/>
            <w:tcBorders>
              <w:left w:val="nil"/>
              <w:right w:val="nil"/>
            </w:tcBorders>
          </w:tcPr>
          <w:p w:rsidR="00E409D1" w:rsidRDefault="00E409D1">
            <w:pPr>
              <w:rPr>
                <w:rFonts w:asciiTheme="minorHAnsi" w:hAnsiTheme="minorHAnsi"/>
                <w:sz w:val="16"/>
                <w:szCs w:val="16"/>
              </w:rPr>
            </w:pPr>
            <w:r>
              <w:rPr>
                <w:rFonts w:asciiTheme="minorHAnsi" w:hAnsiTheme="minorHAnsi"/>
                <w:sz w:val="16"/>
                <w:szCs w:val="16"/>
              </w:rPr>
              <w:t>Inhaled</w:t>
            </w:r>
          </w:p>
        </w:tc>
        <w:tc>
          <w:tcPr>
            <w:tcW w:w="2456" w:type="dxa"/>
            <w:tcBorders>
              <w:left w:val="nil"/>
              <w:right w:val="nil"/>
            </w:tcBorders>
          </w:tcPr>
          <w:p w:rsidR="00E409D1" w:rsidRPr="00E409D1" w:rsidRDefault="00E409D1">
            <w:pPr>
              <w:rPr>
                <w:rFonts w:asciiTheme="minorHAnsi" w:hAnsiTheme="minorHAnsi"/>
                <w:sz w:val="16"/>
                <w:szCs w:val="16"/>
              </w:rPr>
            </w:pPr>
            <w:r>
              <w:rPr>
                <w:rFonts w:asciiTheme="minorHAnsi" w:hAnsiTheme="minorHAnsi"/>
                <w:sz w:val="16"/>
                <w:szCs w:val="16"/>
              </w:rPr>
              <w:t>15.2%</w:t>
            </w:r>
          </w:p>
        </w:tc>
        <w:tc>
          <w:tcPr>
            <w:tcW w:w="2456" w:type="dxa"/>
            <w:tcBorders>
              <w:left w:val="nil"/>
              <w:right w:val="nil"/>
            </w:tcBorders>
          </w:tcPr>
          <w:p w:rsidR="00E409D1" w:rsidRPr="00E409D1" w:rsidRDefault="00E409D1">
            <w:pPr>
              <w:rPr>
                <w:rFonts w:asciiTheme="minorHAnsi" w:hAnsiTheme="minorHAnsi"/>
                <w:sz w:val="16"/>
                <w:szCs w:val="16"/>
              </w:rPr>
            </w:pPr>
            <w:r>
              <w:rPr>
                <w:rFonts w:asciiTheme="minorHAnsi" w:hAnsiTheme="minorHAnsi"/>
                <w:sz w:val="16"/>
                <w:szCs w:val="16"/>
              </w:rPr>
              <w:t>27.3%</w:t>
            </w:r>
          </w:p>
        </w:tc>
      </w:tr>
      <w:tr w:rsidR="00E409D1" w:rsidRPr="00E409D1" w:rsidTr="00BC0CA6">
        <w:tc>
          <w:tcPr>
            <w:tcW w:w="2487" w:type="dxa"/>
            <w:tcBorders>
              <w:left w:val="nil"/>
              <w:right w:val="nil"/>
            </w:tcBorders>
          </w:tcPr>
          <w:p w:rsidR="00E409D1" w:rsidRPr="00E409D1" w:rsidRDefault="00E409D1">
            <w:pPr>
              <w:rPr>
                <w:rFonts w:asciiTheme="minorHAnsi" w:hAnsiTheme="minorHAnsi"/>
                <w:sz w:val="16"/>
                <w:szCs w:val="16"/>
              </w:rPr>
            </w:pPr>
            <w:r>
              <w:rPr>
                <w:rFonts w:asciiTheme="minorHAnsi" w:hAnsiTheme="minorHAnsi"/>
                <w:sz w:val="16"/>
                <w:szCs w:val="16"/>
              </w:rPr>
              <w:t>Oral bioavailability (swallowed portion)</w:t>
            </w:r>
          </w:p>
        </w:tc>
        <w:tc>
          <w:tcPr>
            <w:tcW w:w="2177" w:type="dxa"/>
            <w:tcBorders>
              <w:left w:val="nil"/>
              <w:right w:val="nil"/>
            </w:tcBorders>
            <w:vAlign w:val="center"/>
          </w:tcPr>
          <w:p w:rsidR="00E409D1" w:rsidRDefault="00E409D1" w:rsidP="00BC0CA6">
            <w:pPr>
              <w:rPr>
                <w:rFonts w:asciiTheme="minorHAnsi" w:hAnsiTheme="minorHAnsi"/>
                <w:sz w:val="16"/>
                <w:szCs w:val="16"/>
              </w:rPr>
            </w:pPr>
            <w:r>
              <w:rPr>
                <w:rFonts w:asciiTheme="minorHAnsi" w:hAnsiTheme="minorHAnsi"/>
                <w:sz w:val="16"/>
                <w:szCs w:val="16"/>
              </w:rPr>
              <w:t>Inhaled</w:t>
            </w:r>
          </w:p>
        </w:tc>
        <w:tc>
          <w:tcPr>
            <w:tcW w:w="2456" w:type="dxa"/>
            <w:tcBorders>
              <w:left w:val="nil"/>
              <w:right w:val="nil"/>
            </w:tcBorders>
            <w:vAlign w:val="center"/>
          </w:tcPr>
          <w:p w:rsidR="00E409D1" w:rsidRPr="00E409D1" w:rsidRDefault="00E409D1" w:rsidP="00BC0CA6">
            <w:pPr>
              <w:rPr>
                <w:rFonts w:asciiTheme="minorHAnsi" w:hAnsiTheme="minorHAnsi"/>
                <w:sz w:val="16"/>
                <w:szCs w:val="16"/>
              </w:rPr>
            </w:pPr>
            <w:r>
              <w:rPr>
                <w:rFonts w:asciiTheme="minorHAnsi" w:hAnsiTheme="minorHAnsi"/>
                <w:sz w:val="16"/>
                <w:szCs w:val="16"/>
              </w:rPr>
              <w:t>~1.3%</w:t>
            </w:r>
          </w:p>
        </w:tc>
        <w:tc>
          <w:tcPr>
            <w:tcW w:w="2456" w:type="dxa"/>
            <w:tcBorders>
              <w:left w:val="nil"/>
              <w:right w:val="nil"/>
            </w:tcBorders>
            <w:vAlign w:val="center"/>
          </w:tcPr>
          <w:p w:rsidR="00E409D1" w:rsidRPr="00E409D1" w:rsidRDefault="00E409D1" w:rsidP="00BC0CA6">
            <w:pPr>
              <w:rPr>
                <w:rFonts w:asciiTheme="minorHAnsi" w:hAnsiTheme="minorHAnsi"/>
                <w:sz w:val="16"/>
                <w:szCs w:val="16"/>
              </w:rPr>
            </w:pPr>
            <w:r>
              <w:rPr>
                <w:rFonts w:asciiTheme="minorHAnsi" w:hAnsiTheme="minorHAnsi"/>
                <w:sz w:val="16"/>
                <w:szCs w:val="16"/>
              </w:rPr>
              <w:t>&lt;2%</w:t>
            </w:r>
          </w:p>
        </w:tc>
      </w:tr>
      <w:tr w:rsidR="00E409D1" w:rsidRPr="00E409D1" w:rsidTr="00BC0CA6">
        <w:tc>
          <w:tcPr>
            <w:tcW w:w="2487" w:type="dxa"/>
            <w:tcBorders>
              <w:left w:val="nil"/>
              <w:right w:val="nil"/>
            </w:tcBorders>
          </w:tcPr>
          <w:p w:rsidR="00E409D1" w:rsidRPr="00E409D1" w:rsidRDefault="00E409D1">
            <w:pPr>
              <w:rPr>
                <w:rFonts w:asciiTheme="minorHAnsi" w:hAnsiTheme="minorHAnsi"/>
                <w:sz w:val="16"/>
                <w:szCs w:val="16"/>
              </w:rPr>
            </w:pPr>
            <w:r>
              <w:rPr>
                <w:rFonts w:asciiTheme="minorHAnsi" w:hAnsiTheme="minorHAnsi"/>
                <w:sz w:val="16"/>
                <w:szCs w:val="16"/>
              </w:rPr>
              <w:t>Volume of distribution</w:t>
            </w:r>
          </w:p>
        </w:tc>
        <w:tc>
          <w:tcPr>
            <w:tcW w:w="2177" w:type="dxa"/>
            <w:tcBorders>
              <w:left w:val="nil"/>
              <w:right w:val="nil"/>
            </w:tcBorders>
          </w:tcPr>
          <w:p w:rsidR="00E409D1" w:rsidRDefault="00E409D1">
            <w:pPr>
              <w:rPr>
                <w:rFonts w:asciiTheme="minorHAnsi" w:hAnsiTheme="minorHAnsi"/>
                <w:sz w:val="16"/>
                <w:szCs w:val="16"/>
              </w:rPr>
            </w:pPr>
            <w:r>
              <w:rPr>
                <w:rFonts w:asciiTheme="minorHAnsi" w:hAnsiTheme="minorHAnsi"/>
                <w:sz w:val="16"/>
                <w:szCs w:val="16"/>
              </w:rPr>
              <w:t>IV</w:t>
            </w:r>
          </w:p>
        </w:tc>
        <w:tc>
          <w:tcPr>
            <w:tcW w:w="2456" w:type="dxa"/>
            <w:tcBorders>
              <w:left w:val="nil"/>
              <w:right w:val="nil"/>
            </w:tcBorders>
          </w:tcPr>
          <w:p w:rsidR="00E409D1" w:rsidRPr="00E409D1" w:rsidRDefault="00E409D1">
            <w:pPr>
              <w:rPr>
                <w:rFonts w:asciiTheme="minorHAnsi" w:hAnsiTheme="minorHAnsi"/>
                <w:sz w:val="16"/>
                <w:szCs w:val="16"/>
              </w:rPr>
            </w:pPr>
            <w:r>
              <w:rPr>
                <w:rFonts w:asciiTheme="minorHAnsi" w:hAnsiTheme="minorHAnsi"/>
                <w:sz w:val="16"/>
                <w:szCs w:val="16"/>
              </w:rPr>
              <w:t>66L</w:t>
            </w:r>
          </w:p>
        </w:tc>
        <w:tc>
          <w:tcPr>
            <w:tcW w:w="2456" w:type="dxa"/>
            <w:tcBorders>
              <w:left w:val="nil"/>
              <w:right w:val="nil"/>
            </w:tcBorders>
          </w:tcPr>
          <w:p w:rsidR="00E409D1" w:rsidRPr="00E409D1" w:rsidRDefault="00E409D1">
            <w:pPr>
              <w:rPr>
                <w:rFonts w:asciiTheme="minorHAnsi" w:hAnsiTheme="minorHAnsi"/>
                <w:sz w:val="16"/>
                <w:szCs w:val="16"/>
              </w:rPr>
            </w:pPr>
            <w:r>
              <w:rPr>
                <w:rFonts w:asciiTheme="minorHAnsi" w:hAnsiTheme="minorHAnsi"/>
                <w:sz w:val="16"/>
                <w:szCs w:val="16"/>
              </w:rPr>
              <w:t>165L</w:t>
            </w:r>
          </w:p>
        </w:tc>
      </w:tr>
      <w:tr w:rsidR="00E409D1" w:rsidRPr="00E409D1" w:rsidTr="00BC0CA6">
        <w:tc>
          <w:tcPr>
            <w:tcW w:w="2487" w:type="dxa"/>
            <w:tcBorders>
              <w:left w:val="nil"/>
              <w:right w:val="nil"/>
            </w:tcBorders>
          </w:tcPr>
          <w:p w:rsidR="00E409D1" w:rsidRPr="00E409D1" w:rsidRDefault="00E409D1">
            <w:pPr>
              <w:rPr>
                <w:rFonts w:asciiTheme="minorHAnsi" w:hAnsiTheme="minorHAnsi"/>
                <w:sz w:val="16"/>
                <w:szCs w:val="16"/>
              </w:rPr>
            </w:pPr>
            <w:r>
              <w:rPr>
                <w:rFonts w:asciiTheme="minorHAnsi" w:hAnsiTheme="minorHAnsi"/>
                <w:sz w:val="16"/>
                <w:szCs w:val="16"/>
              </w:rPr>
              <w:t>Protein binding</w:t>
            </w:r>
          </w:p>
        </w:tc>
        <w:tc>
          <w:tcPr>
            <w:tcW w:w="2177" w:type="dxa"/>
            <w:tcBorders>
              <w:left w:val="nil"/>
              <w:right w:val="nil"/>
            </w:tcBorders>
          </w:tcPr>
          <w:p w:rsidR="00E409D1" w:rsidRDefault="00E409D1">
            <w:pPr>
              <w:rPr>
                <w:rFonts w:asciiTheme="minorHAnsi" w:hAnsiTheme="minorHAnsi"/>
                <w:sz w:val="16"/>
                <w:szCs w:val="16"/>
              </w:rPr>
            </w:pPr>
            <w:r>
              <w:rPr>
                <w:rFonts w:asciiTheme="minorHAnsi" w:hAnsiTheme="minorHAnsi"/>
                <w:sz w:val="16"/>
                <w:szCs w:val="16"/>
              </w:rPr>
              <w:t>IV</w:t>
            </w:r>
          </w:p>
        </w:tc>
        <w:tc>
          <w:tcPr>
            <w:tcW w:w="2456" w:type="dxa"/>
            <w:tcBorders>
              <w:left w:val="nil"/>
              <w:right w:val="nil"/>
            </w:tcBorders>
          </w:tcPr>
          <w:p w:rsidR="00E409D1" w:rsidRPr="00E409D1" w:rsidRDefault="00E409D1">
            <w:pPr>
              <w:rPr>
                <w:rFonts w:asciiTheme="minorHAnsi" w:hAnsiTheme="minorHAnsi"/>
                <w:sz w:val="16"/>
                <w:szCs w:val="16"/>
              </w:rPr>
            </w:pPr>
            <w:r>
              <w:rPr>
                <w:rFonts w:asciiTheme="minorHAnsi" w:hAnsiTheme="minorHAnsi"/>
                <w:sz w:val="16"/>
                <w:szCs w:val="16"/>
              </w:rPr>
              <w:t>99.6%</w:t>
            </w:r>
          </w:p>
        </w:tc>
        <w:tc>
          <w:tcPr>
            <w:tcW w:w="2456" w:type="dxa"/>
            <w:tcBorders>
              <w:left w:val="nil"/>
              <w:right w:val="nil"/>
            </w:tcBorders>
          </w:tcPr>
          <w:p w:rsidR="00E409D1" w:rsidRPr="00E409D1" w:rsidRDefault="00E409D1">
            <w:pPr>
              <w:rPr>
                <w:rFonts w:asciiTheme="minorHAnsi" w:hAnsiTheme="minorHAnsi"/>
                <w:sz w:val="16"/>
                <w:szCs w:val="16"/>
              </w:rPr>
            </w:pPr>
            <w:r>
              <w:rPr>
                <w:rFonts w:asciiTheme="minorHAnsi" w:hAnsiTheme="minorHAnsi"/>
                <w:sz w:val="16"/>
                <w:szCs w:val="16"/>
              </w:rPr>
              <w:t>93.9%</w:t>
            </w:r>
          </w:p>
        </w:tc>
      </w:tr>
      <w:tr w:rsidR="00E409D1" w:rsidRPr="00E409D1" w:rsidTr="00BC0CA6">
        <w:tc>
          <w:tcPr>
            <w:tcW w:w="2487" w:type="dxa"/>
            <w:tcBorders>
              <w:left w:val="nil"/>
              <w:right w:val="nil"/>
            </w:tcBorders>
            <w:vAlign w:val="center"/>
          </w:tcPr>
          <w:p w:rsidR="00E409D1" w:rsidRDefault="00E409D1" w:rsidP="00BC0CA6">
            <w:pPr>
              <w:rPr>
                <w:rFonts w:asciiTheme="minorHAnsi" w:hAnsiTheme="minorHAnsi"/>
                <w:sz w:val="16"/>
                <w:szCs w:val="16"/>
              </w:rPr>
            </w:pPr>
            <w:r>
              <w:rPr>
                <w:rFonts w:asciiTheme="minorHAnsi" w:hAnsiTheme="minorHAnsi"/>
                <w:sz w:val="16"/>
                <w:szCs w:val="16"/>
              </w:rPr>
              <w:t>Metabolism</w:t>
            </w:r>
          </w:p>
        </w:tc>
        <w:tc>
          <w:tcPr>
            <w:tcW w:w="2177" w:type="dxa"/>
            <w:tcBorders>
              <w:left w:val="nil"/>
              <w:right w:val="nil"/>
            </w:tcBorders>
          </w:tcPr>
          <w:p w:rsidR="00E409D1" w:rsidRDefault="00E409D1">
            <w:pPr>
              <w:rPr>
                <w:rFonts w:asciiTheme="minorHAnsi" w:hAnsiTheme="minorHAnsi"/>
                <w:sz w:val="16"/>
                <w:szCs w:val="16"/>
              </w:rPr>
            </w:pPr>
          </w:p>
        </w:tc>
        <w:tc>
          <w:tcPr>
            <w:tcW w:w="2456" w:type="dxa"/>
            <w:tcBorders>
              <w:left w:val="nil"/>
              <w:right w:val="nil"/>
            </w:tcBorders>
          </w:tcPr>
          <w:p w:rsidR="00E409D1" w:rsidRDefault="00E409D1">
            <w:pPr>
              <w:rPr>
                <w:rFonts w:asciiTheme="minorHAnsi" w:hAnsiTheme="minorHAnsi"/>
                <w:sz w:val="16"/>
                <w:szCs w:val="16"/>
              </w:rPr>
            </w:pPr>
            <w:r>
              <w:rPr>
                <w:rFonts w:asciiTheme="minorHAnsi" w:hAnsiTheme="minorHAnsi"/>
                <w:sz w:val="16"/>
                <w:szCs w:val="16"/>
              </w:rPr>
              <w:t>CY3A4 (metabolites decreased activity)</w:t>
            </w:r>
          </w:p>
        </w:tc>
        <w:tc>
          <w:tcPr>
            <w:tcW w:w="2456" w:type="dxa"/>
            <w:tcBorders>
              <w:left w:val="nil"/>
              <w:right w:val="nil"/>
            </w:tcBorders>
          </w:tcPr>
          <w:p w:rsidR="00E409D1" w:rsidRDefault="00E409D1" w:rsidP="001A25CD">
            <w:pPr>
              <w:rPr>
                <w:rFonts w:asciiTheme="minorHAnsi" w:hAnsiTheme="minorHAnsi"/>
                <w:sz w:val="16"/>
                <w:szCs w:val="16"/>
              </w:rPr>
            </w:pPr>
            <w:r>
              <w:rPr>
                <w:rFonts w:asciiTheme="minorHAnsi" w:hAnsiTheme="minorHAnsi"/>
                <w:sz w:val="16"/>
                <w:szCs w:val="16"/>
              </w:rPr>
              <w:t>CY3A4 (metabolites decreased activity)</w:t>
            </w:r>
          </w:p>
        </w:tc>
      </w:tr>
      <w:tr w:rsidR="00E409D1" w:rsidRPr="00E409D1" w:rsidTr="00BC0CA6">
        <w:tc>
          <w:tcPr>
            <w:tcW w:w="2487" w:type="dxa"/>
            <w:tcBorders>
              <w:left w:val="nil"/>
              <w:right w:val="nil"/>
            </w:tcBorders>
          </w:tcPr>
          <w:p w:rsidR="00E409D1" w:rsidRDefault="00E409D1">
            <w:pPr>
              <w:rPr>
                <w:rFonts w:asciiTheme="minorHAnsi" w:hAnsiTheme="minorHAnsi"/>
                <w:sz w:val="16"/>
                <w:szCs w:val="16"/>
              </w:rPr>
            </w:pPr>
            <w:r>
              <w:rPr>
                <w:rFonts w:asciiTheme="minorHAnsi" w:hAnsiTheme="minorHAnsi"/>
                <w:sz w:val="16"/>
                <w:szCs w:val="16"/>
              </w:rPr>
              <w:t xml:space="preserve">Elimination </w:t>
            </w:r>
          </w:p>
        </w:tc>
        <w:tc>
          <w:tcPr>
            <w:tcW w:w="2177" w:type="dxa"/>
            <w:tcBorders>
              <w:left w:val="nil"/>
              <w:right w:val="nil"/>
            </w:tcBorders>
          </w:tcPr>
          <w:p w:rsidR="00E409D1" w:rsidRDefault="00E409D1">
            <w:pPr>
              <w:rPr>
                <w:rFonts w:asciiTheme="minorHAnsi" w:hAnsiTheme="minorHAnsi"/>
                <w:sz w:val="16"/>
                <w:szCs w:val="16"/>
              </w:rPr>
            </w:pPr>
            <w:r>
              <w:rPr>
                <w:rFonts w:asciiTheme="minorHAnsi" w:hAnsiTheme="minorHAnsi"/>
                <w:sz w:val="16"/>
                <w:szCs w:val="16"/>
              </w:rPr>
              <w:t>Oral</w:t>
            </w:r>
          </w:p>
        </w:tc>
        <w:tc>
          <w:tcPr>
            <w:tcW w:w="2456" w:type="dxa"/>
            <w:tcBorders>
              <w:left w:val="nil"/>
              <w:right w:val="nil"/>
            </w:tcBorders>
          </w:tcPr>
          <w:p w:rsidR="00E409D1" w:rsidRDefault="00E409D1">
            <w:pPr>
              <w:rPr>
                <w:rFonts w:asciiTheme="minorHAnsi" w:hAnsiTheme="minorHAnsi"/>
                <w:sz w:val="16"/>
                <w:szCs w:val="16"/>
              </w:rPr>
            </w:pPr>
            <w:r>
              <w:rPr>
                <w:rFonts w:asciiTheme="minorHAnsi" w:hAnsiTheme="minorHAnsi"/>
                <w:sz w:val="16"/>
                <w:szCs w:val="16"/>
              </w:rPr>
              <w:t>Primarily via feces</w:t>
            </w:r>
          </w:p>
        </w:tc>
        <w:tc>
          <w:tcPr>
            <w:tcW w:w="2456" w:type="dxa"/>
            <w:tcBorders>
              <w:left w:val="nil"/>
              <w:right w:val="nil"/>
            </w:tcBorders>
          </w:tcPr>
          <w:p w:rsidR="00E409D1" w:rsidRDefault="00E409D1" w:rsidP="001A25CD">
            <w:pPr>
              <w:rPr>
                <w:rFonts w:asciiTheme="minorHAnsi" w:hAnsiTheme="minorHAnsi"/>
                <w:sz w:val="16"/>
                <w:szCs w:val="16"/>
              </w:rPr>
            </w:pPr>
            <w:r>
              <w:rPr>
                <w:rFonts w:asciiTheme="minorHAnsi" w:hAnsiTheme="minorHAnsi"/>
                <w:sz w:val="16"/>
                <w:szCs w:val="16"/>
              </w:rPr>
              <w:t xml:space="preserve">Urine </w:t>
            </w:r>
            <w:r>
              <w:rPr>
                <w:rFonts w:ascii="Calibri" w:hAnsi="Calibri"/>
                <w:sz w:val="16"/>
                <w:szCs w:val="16"/>
              </w:rPr>
              <w:t>~</w:t>
            </w:r>
            <w:r>
              <w:rPr>
                <w:rFonts w:asciiTheme="minorHAnsi" w:hAnsiTheme="minorHAnsi"/>
                <w:sz w:val="16"/>
                <w:szCs w:val="16"/>
              </w:rPr>
              <w:t>70%; feces</w:t>
            </w:r>
            <w:r>
              <w:rPr>
                <w:rFonts w:ascii="Calibri" w:hAnsi="Calibri"/>
                <w:sz w:val="16"/>
                <w:szCs w:val="16"/>
              </w:rPr>
              <w:t>~</w:t>
            </w:r>
            <w:r>
              <w:rPr>
                <w:rFonts w:asciiTheme="minorHAnsi" w:hAnsiTheme="minorHAnsi"/>
                <w:sz w:val="16"/>
                <w:szCs w:val="16"/>
              </w:rPr>
              <w:t>30%</w:t>
            </w:r>
          </w:p>
        </w:tc>
      </w:tr>
      <w:tr w:rsidR="00E409D1" w:rsidRPr="00E409D1" w:rsidTr="00BC0CA6">
        <w:tc>
          <w:tcPr>
            <w:tcW w:w="2487" w:type="dxa"/>
            <w:tcBorders>
              <w:left w:val="nil"/>
              <w:right w:val="nil"/>
            </w:tcBorders>
          </w:tcPr>
          <w:p w:rsidR="00E409D1" w:rsidRDefault="00E409D1">
            <w:pPr>
              <w:rPr>
                <w:rFonts w:asciiTheme="minorHAnsi" w:hAnsiTheme="minorHAnsi"/>
                <w:sz w:val="16"/>
                <w:szCs w:val="16"/>
              </w:rPr>
            </w:pPr>
            <w:r>
              <w:rPr>
                <w:rFonts w:asciiTheme="minorHAnsi" w:hAnsiTheme="minorHAnsi"/>
                <w:sz w:val="16"/>
                <w:szCs w:val="16"/>
              </w:rPr>
              <w:t>Half-life</w:t>
            </w:r>
          </w:p>
        </w:tc>
        <w:tc>
          <w:tcPr>
            <w:tcW w:w="2177" w:type="dxa"/>
            <w:tcBorders>
              <w:left w:val="nil"/>
              <w:right w:val="nil"/>
            </w:tcBorders>
          </w:tcPr>
          <w:p w:rsidR="00E409D1" w:rsidRDefault="00E409D1">
            <w:pPr>
              <w:rPr>
                <w:rFonts w:asciiTheme="minorHAnsi" w:hAnsiTheme="minorHAnsi"/>
                <w:sz w:val="16"/>
                <w:szCs w:val="16"/>
              </w:rPr>
            </w:pPr>
            <w:r>
              <w:rPr>
                <w:rFonts w:asciiTheme="minorHAnsi" w:hAnsiTheme="minorHAnsi"/>
                <w:sz w:val="16"/>
                <w:szCs w:val="16"/>
              </w:rPr>
              <w:t>Repeat dose inhaled</w:t>
            </w:r>
          </w:p>
        </w:tc>
        <w:tc>
          <w:tcPr>
            <w:tcW w:w="2456" w:type="dxa"/>
            <w:tcBorders>
              <w:left w:val="nil"/>
              <w:right w:val="nil"/>
            </w:tcBorders>
          </w:tcPr>
          <w:p w:rsidR="00E409D1" w:rsidRDefault="00E409D1">
            <w:pPr>
              <w:rPr>
                <w:rFonts w:asciiTheme="minorHAnsi" w:hAnsiTheme="minorHAnsi"/>
                <w:sz w:val="16"/>
                <w:szCs w:val="16"/>
              </w:rPr>
            </w:pPr>
            <w:r>
              <w:rPr>
                <w:rFonts w:asciiTheme="minorHAnsi" w:hAnsiTheme="minorHAnsi"/>
                <w:sz w:val="16"/>
                <w:szCs w:val="16"/>
              </w:rPr>
              <w:t xml:space="preserve">24 </w:t>
            </w:r>
            <w:proofErr w:type="spellStart"/>
            <w:r>
              <w:rPr>
                <w:rFonts w:asciiTheme="minorHAnsi" w:hAnsiTheme="minorHAnsi"/>
                <w:sz w:val="16"/>
                <w:szCs w:val="16"/>
              </w:rPr>
              <w:t>hrs</w:t>
            </w:r>
            <w:proofErr w:type="spellEnd"/>
          </w:p>
        </w:tc>
        <w:tc>
          <w:tcPr>
            <w:tcW w:w="2456" w:type="dxa"/>
            <w:tcBorders>
              <w:left w:val="nil"/>
              <w:right w:val="nil"/>
            </w:tcBorders>
          </w:tcPr>
          <w:p w:rsidR="00E409D1" w:rsidRDefault="00E409D1" w:rsidP="001A25CD">
            <w:pPr>
              <w:rPr>
                <w:rFonts w:asciiTheme="minorHAnsi" w:hAnsiTheme="minorHAnsi"/>
                <w:sz w:val="16"/>
                <w:szCs w:val="16"/>
              </w:rPr>
            </w:pPr>
            <w:r>
              <w:rPr>
                <w:rFonts w:asciiTheme="minorHAnsi" w:hAnsiTheme="minorHAnsi"/>
                <w:sz w:val="16"/>
                <w:szCs w:val="16"/>
              </w:rPr>
              <w:t>21.3hrs</w:t>
            </w:r>
          </w:p>
        </w:tc>
      </w:tr>
    </w:tbl>
    <w:p w:rsidR="00E409D1" w:rsidRPr="00970B3D" w:rsidRDefault="00970B3D">
      <w:pPr>
        <w:rPr>
          <w:rFonts w:asciiTheme="minorHAnsi" w:hAnsiTheme="minorHAnsi"/>
          <w:sz w:val="16"/>
          <w:szCs w:val="16"/>
        </w:rPr>
      </w:pPr>
      <w:r w:rsidRPr="00970B3D">
        <w:rPr>
          <w:rFonts w:asciiTheme="minorHAnsi" w:hAnsiTheme="minorHAnsi"/>
          <w:sz w:val="16"/>
          <w:szCs w:val="16"/>
        </w:rPr>
        <w:t>Information obtained from product package insert</w:t>
      </w:r>
    </w:p>
    <w:p w:rsidR="00A506C4" w:rsidRPr="00970B3D" w:rsidRDefault="00A506C4">
      <w:pPr>
        <w:rPr>
          <w:rFonts w:asciiTheme="minorHAnsi" w:hAnsiTheme="minorHAnsi"/>
          <w:sz w:val="16"/>
          <w:szCs w:val="16"/>
        </w:rPr>
      </w:pPr>
    </w:p>
    <w:p w:rsidR="00511D5E" w:rsidRDefault="00511D5E">
      <w:pPr>
        <w:rPr>
          <w:b/>
          <w:sz w:val="22"/>
          <w:szCs w:val="22"/>
          <w:u w:val="single"/>
        </w:rPr>
      </w:pPr>
    </w:p>
    <w:p w:rsidR="00B03B4E" w:rsidRDefault="00B03B4E">
      <w:pPr>
        <w:rPr>
          <w:b/>
          <w:sz w:val="22"/>
          <w:szCs w:val="22"/>
          <w:u w:val="single"/>
        </w:rPr>
      </w:pPr>
    </w:p>
    <w:p w:rsidR="00B03B4E" w:rsidRDefault="00B03B4E">
      <w:pPr>
        <w:rPr>
          <w:b/>
          <w:sz w:val="22"/>
          <w:szCs w:val="22"/>
          <w:u w:val="single"/>
        </w:rPr>
      </w:pPr>
    </w:p>
    <w:p w:rsidR="00B03B4E" w:rsidRDefault="00B03B4E">
      <w:pPr>
        <w:rPr>
          <w:b/>
          <w:sz w:val="22"/>
          <w:szCs w:val="22"/>
          <w:u w:val="single"/>
        </w:rPr>
      </w:pPr>
    </w:p>
    <w:p w:rsidR="00B03B4E" w:rsidRDefault="00B03B4E">
      <w:pPr>
        <w:rPr>
          <w:b/>
          <w:sz w:val="22"/>
          <w:szCs w:val="22"/>
          <w:u w:val="single"/>
        </w:rPr>
      </w:pPr>
    </w:p>
    <w:p w:rsidR="00032C52" w:rsidRDefault="000A3F76">
      <w:pPr>
        <w:rPr>
          <w:b/>
          <w:sz w:val="22"/>
          <w:szCs w:val="22"/>
          <w:u w:val="single"/>
        </w:rPr>
      </w:pPr>
      <w:r w:rsidRPr="00A50287">
        <w:rPr>
          <w:b/>
          <w:sz w:val="22"/>
          <w:szCs w:val="22"/>
          <w:u w:val="single"/>
        </w:rPr>
        <w:lastRenderedPageBreak/>
        <w:t>FDA Approved Indication</w:t>
      </w:r>
      <w:r w:rsidR="00A50287" w:rsidRPr="00A50287">
        <w:rPr>
          <w:b/>
          <w:sz w:val="22"/>
          <w:szCs w:val="22"/>
          <w:u w:val="single"/>
        </w:rPr>
        <w:t>(</w:t>
      </w:r>
      <w:r w:rsidRPr="00A50287">
        <w:rPr>
          <w:b/>
          <w:sz w:val="22"/>
          <w:szCs w:val="22"/>
          <w:u w:val="single"/>
        </w:rPr>
        <w:t>s</w:t>
      </w:r>
      <w:r w:rsidR="00A50287" w:rsidRPr="00A50287">
        <w:rPr>
          <w:b/>
          <w:sz w:val="22"/>
          <w:szCs w:val="22"/>
          <w:u w:val="single"/>
        </w:rPr>
        <w:t>)</w:t>
      </w:r>
    </w:p>
    <w:p w:rsidR="00EF1CC4" w:rsidRDefault="002E6EE5">
      <w:pPr>
        <w:rPr>
          <w:sz w:val="20"/>
          <w:szCs w:val="20"/>
        </w:rPr>
      </w:pPr>
      <w:r>
        <w:rPr>
          <w:sz w:val="20"/>
          <w:szCs w:val="20"/>
        </w:rPr>
        <w:t>Fluticasone furoate/vilanter</w:t>
      </w:r>
      <w:r w:rsidR="00032C52">
        <w:rPr>
          <w:sz w:val="20"/>
          <w:szCs w:val="20"/>
        </w:rPr>
        <w:t>ol is approved for l</w:t>
      </w:r>
      <w:r w:rsidR="00032C52" w:rsidRPr="00E95A8C">
        <w:rPr>
          <w:sz w:val="20"/>
          <w:szCs w:val="20"/>
        </w:rPr>
        <w:t>ong-term, once-daily, maintenance treatment of airflow obstruction in patients with chronic obstructive pulmonary disease (COPD), including chronic bronchitis and/or emphysema. It is also approved to reduce exacerbations of COPD in patients with a history of exacerbations.</w:t>
      </w:r>
    </w:p>
    <w:p w:rsidR="00E1757B" w:rsidRDefault="00E1757B">
      <w:pPr>
        <w:rPr>
          <w:sz w:val="20"/>
          <w:szCs w:val="20"/>
        </w:rPr>
      </w:pPr>
    </w:p>
    <w:p w:rsidR="00E1757B" w:rsidRPr="00032C52" w:rsidRDefault="00236E34">
      <w:pPr>
        <w:rPr>
          <w:b/>
          <w:sz w:val="22"/>
          <w:szCs w:val="22"/>
          <w:u w:val="single"/>
        </w:rPr>
      </w:pPr>
      <w:r>
        <w:rPr>
          <w:sz w:val="20"/>
          <w:szCs w:val="20"/>
        </w:rPr>
        <w:t>This product is NOT</w:t>
      </w:r>
      <w:r w:rsidR="00E1757B">
        <w:rPr>
          <w:sz w:val="20"/>
          <w:szCs w:val="20"/>
        </w:rPr>
        <w:t xml:space="preserve"> indicated for the relief of acute bronchospasm or for the treatment of asthma.</w:t>
      </w:r>
    </w:p>
    <w:p w:rsidR="00FF4A35" w:rsidRDefault="00FF4A35">
      <w:pPr>
        <w:rPr>
          <w:b/>
          <w:sz w:val="22"/>
          <w:szCs w:val="22"/>
          <w:u w:val="single"/>
        </w:rPr>
      </w:pPr>
    </w:p>
    <w:p w:rsidR="000A3F76" w:rsidRPr="00FF4A35" w:rsidRDefault="000A3F76">
      <w:pPr>
        <w:rPr>
          <w:b/>
          <w:sz w:val="22"/>
          <w:szCs w:val="22"/>
          <w:u w:val="single"/>
        </w:rPr>
      </w:pPr>
      <w:r w:rsidRPr="00FF4A35">
        <w:rPr>
          <w:b/>
          <w:sz w:val="22"/>
          <w:szCs w:val="22"/>
          <w:u w:val="single"/>
        </w:rPr>
        <w:t xml:space="preserve">Potential Off-Label </w:t>
      </w:r>
      <w:r w:rsidR="00FF4A35" w:rsidRPr="00FF4A35">
        <w:rPr>
          <w:b/>
          <w:sz w:val="22"/>
          <w:szCs w:val="22"/>
          <w:u w:val="single"/>
        </w:rPr>
        <w:t>Uses</w:t>
      </w:r>
    </w:p>
    <w:p w:rsidR="00FF4A35" w:rsidRDefault="00FF4A35" w:rsidP="00FF4A35">
      <w:pPr>
        <w:pStyle w:val="BodyText"/>
        <w:jc w:val="both"/>
        <w:rPr>
          <w:rFonts w:ascii="Times New Roman" w:hAnsi="Times New Roman"/>
          <w:color w:val="000000"/>
          <w:szCs w:val="30"/>
        </w:rPr>
      </w:pPr>
      <w:r w:rsidRPr="00C76A69">
        <w:rPr>
          <w:rFonts w:ascii="Times New Roman" w:hAnsi="Times New Roman"/>
          <w:color w:val="000000"/>
          <w:szCs w:val="30"/>
        </w:rPr>
        <w:t xml:space="preserve">This section is not intended to promote any off-label uses. Off-label use should be evidence-based. See VA PBM-MAP and Center for Medication Safety’s </w:t>
      </w:r>
      <w:hyperlink r:id="rId9" w:history="1">
        <w:r w:rsidRPr="00C76A69">
          <w:rPr>
            <w:rFonts w:ascii="Times New Roman" w:hAnsi="Times New Roman"/>
            <w:color w:val="000000"/>
            <w:szCs w:val="30"/>
            <w:u w:val="single" w:color="0000FF"/>
          </w:rPr>
          <w:t>Guidance on “Off-label” Prescribing</w:t>
        </w:r>
      </w:hyperlink>
      <w:r w:rsidRPr="00C76A69">
        <w:rPr>
          <w:rFonts w:ascii="Times New Roman" w:hAnsi="Times New Roman"/>
          <w:color w:val="000000"/>
          <w:szCs w:val="30"/>
        </w:rPr>
        <w:t xml:space="preserve"> (available on the VA PBM Intranet site only).</w:t>
      </w:r>
    </w:p>
    <w:p w:rsidR="00FF4A35" w:rsidRPr="00D76ECF" w:rsidRDefault="00FF4A35" w:rsidP="00FF4A35">
      <w:pPr>
        <w:pStyle w:val="NoSpacing"/>
        <w:numPr>
          <w:ilvl w:val="0"/>
          <w:numId w:val="1"/>
        </w:numPr>
        <w:rPr>
          <w:sz w:val="20"/>
          <w:szCs w:val="20"/>
        </w:rPr>
      </w:pPr>
      <w:r>
        <w:rPr>
          <w:sz w:val="20"/>
          <w:szCs w:val="20"/>
        </w:rPr>
        <w:t>Treatment of asthma</w:t>
      </w:r>
      <w:r w:rsidR="006168EB">
        <w:rPr>
          <w:sz w:val="20"/>
          <w:szCs w:val="20"/>
        </w:rPr>
        <w:t xml:space="preserve"> (the asthma clinical development program is in progress</w:t>
      </w:r>
      <w:r w:rsidR="00015A26">
        <w:rPr>
          <w:sz w:val="20"/>
          <w:szCs w:val="20"/>
        </w:rPr>
        <w:t>; several trials have been published</w:t>
      </w:r>
      <w:r w:rsidR="006168EB">
        <w:rPr>
          <w:sz w:val="20"/>
          <w:szCs w:val="20"/>
        </w:rPr>
        <w:t>)</w:t>
      </w:r>
    </w:p>
    <w:p w:rsidR="00FF4A35" w:rsidRDefault="00FF4A35">
      <w:pPr>
        <w:rPr>
          <w:sz w:val="22"/>
          <w:szCs w:val="22"/>
        </w:rPr>
      </w:pPr>
    </w:p>
    <w:p w:rsidR="000A3F76" w:rsidRPr="00FF4A35" w:rsidRDefault="000A3F76">
      <w:pPr>
        <w:rPr>
          <w:b/>
          <w:sz w:val="22"/>
          <w:szCs w:val="22"/>
          <w:u w:val="single"/>
        </w:rPr>
      </w:pPr>
      <w:r w:rsidRPr="00FF4A35">
        <w:rPr>
          <w:b/>
          <w:sz w:val="22"/>
          <w:szCs w:val="22"/>
          <w:u w:val="single"/>
        </w:rPr>
        <w:t>Current VA Formulary Alternatives</w:t>
      </w:r>
    </w:p>
    <w:p w:rsidR="00507A5A" w:rsidRPr="0037369A" w:rsidRDefault="001B0B2B" w:rsidP="0037369A">
      <w:pPr>
        <w:pStyle w:val="ListParagraph"/>
        <w:numPr>
          <w:ilvl w:val="0"/>
          <w:numId w:val="1"/>
        </w:numPr>
        <w:rPr>
          <w:sz w:val="20"/>
          <w:szCs w:val="20"/>
        </w:rPr>
      </w:pPr>
      <w:r w:rsidRPr="0037369A">
        <w:rPr>
          <w:sz w:val="20"/>
          <w:szCs w:val="20"/>
        </w:rPr>
        <w:t>The VA has a National Con</w:t>
      </w:r>
      <w:r w:rsidR="00F373B3" w:rsidRPr="0037369A">
        <w:rPr>
          <w:sz w:val="20"/>
          <w:szCs w:val="20"/>
        </w:rPr>
        <w:t>tract for budesonide/</w:t>
      </w:r>
      <w:proofErr w:type="spellStart"/>
      <w:r w:rsidR="00F373B3" w:rsidRPr="0037369A">
        <w:rPr>
          <w:sz w:val="20"/>
          <w:szCs w:val="20"/>
        </w:rPr>
        <w:t>formoterol</w:t>
      </w:r>
      <w:proofErr w:type="spellEnd"/>
      <w:r w:rsidRPr="0037369A">
        <w:rPr>
          <w:sz w:val="20"/>
          <w:szCs w:val="20"/>
        </w:rPr>
        <w:t xml:space="preserve"> (</w:t>
      </w:r>
      <w:proofErr w:type="spellStart"/>
      <w:r w:rsidRPr="0037369A">
        <w:rPr>
          <w:sz w:val="20"/>
          <w:szCs w:val="20"/>
        </w:rPr>
        <w:t>Symbicort</w:t>
      </w:r>
      <w:proofErr w:type="spellEnd"/>
      <w:r w:rsidRPr="0037369A">
        <w:rPr>
          <w:sz w:val="20"/>
          <w:szCs w:val="20"/>
        </w:rPr>
        <w:t>)</w:t>
      </w:r>
    </w:p>
    <w:p w:rsidR="00F373B3" w:rsidRPr="0037369A" w:rsidRDefault="00F373B3" w:rsidP="0037369A">
      <w:pPr>
        <w:pStyle w:val="ListParagraph"/>
        <w:numPr>
          <w:ilvl w:val="0"/>
          <w:numId w:val="1"/>
        </w:numPr>
        <w:rPr>
          <w:sz w:val="20"/>
          <w:szCs w:val="20"/>
        </w:rPr>
      </w:pPr>
      <w:proofErr w:type="spellStart"/>
      <w:r w:rsidRPr="0037369A">
        <w:rPr>
          <w:sz w:val="20"/>
          <w:szCs w:val="20"/>
        </w:rPr>
        <w:t>Mometasone</w:t>
      </w:r>
      <w:proofErr w:type="spellEnd"/>
      <w:r w:rsidRPr="0037369A">
        <w:rPr>
          <w:sz w:val="20"/>
          <w:szCs w:val="20"/>
        </w:rPr>
        <w:t xml:space="preserve"> and </w:t>
      </w:r>
      <w:proofErr w:type="spellStart"/>
      <w:r w:rsidRPr="0037369A">
        <w:rPr>
          <w:sz w:val="20"/>
          <w:szCs w:val="20"/>
        </w:rPr>
        <w:t>formoterol</w:t>
      </w:r>
      <w:proofErr w:type="spellEnd"/>
      <w:r w:rsidRPr="0037369A">
        <w:rPr>
          <w:sz w:val="20"/>
          <w:szCs w:val="20"/>
        </w:rPr>
        <w:t xml:space="preserve"> as separate inhalers</w:t>
      </w:r>
    </w:p>
    <w:p w:rsidR="001B0B2B" w:rsidRDefault="001B0B2B">
      <w:pPr>
        <w:rPr>
          <w:sz w:val="20"/>
          <w:szCs w:val="20"/>
        </w:rPr>
      </w:pPr>
    </w:p>
    <w:p w:rsidR="000A3F76" w:rsidRPr="006015B3" w:rsidRDefault="000A3F76">
      <w:pPr>
        <w:rPr>
          <w:b/>
          <w:sz w:val="22"/>
          <w:szCs w:val="22"/>
          <w:u w:val="single"/>
        </w:rPr>
      </w:pPr>
      <w:r w:rsidRPr="006015B3">
        <w:rPr>
          <w:b/>
          <w:sz w:val="22"/>
          <w:szCs w:val="22"/>
          <w:u w:val="single"/>
        </w:rPr>
        <w:t>Dosing/Administration</w:t>
      </w:r>
    </w:p>
    <w:p w:rsidR="006015B3" w:rsidRPr="006015B3" w:rsidRDefault="006015B3">
      <w:pPr>
        <w:rPr>
          <w:sz w:val="20"/>
          <w:szCs w:val="20"/>
        </w:rPr>
      </w:pPr>
      <w:r w:rsidRPr="006015B3">
        <w:rPr>
          <w:sz w:val="20"/>
          <w:szCs w:val="20"/>
        </w:rPr>
        <w:t xml:space="preserve">One oral </w:t>
      </w:r>
      <w:r w:rsidR="00E96EEF">
        <w:rPr>
          <w:sz w:val="20"/>
          <w:szCs w:val="20"/>
        </w:rPr>
        <w:t>inhalation of 100/25mcg once daily</w:t>
      </w:r>
      <w:r w:rsidR="00236E34">
        <w:rPr>
          <w:sz w:val="20"/>
          <w:szCs w:val="20"/>
        </w:rPr>
        <w:t xml:space="preserve"> and should be taken at the same time every day.</w:t>
      </w:r>
    </w:p>
    <w:p w:rsidR="006015B3" w:rsidRDefault="006015B3">
      <w:pPr>
        <w:rPr>
          <w:sz w:val="22"/>
          <w:szCs w:val="22"/>
        </w:rPr>
      </w:pPr>
    </w:p>
    <w:p w:rsidR="000A3F76" w:rsidRPr="00711EE7" w:rsidRDefault="000A3F76">
      <w:pPr>
        <w:rPr>
          <w:b/>
          <w:sz w:val="22"/>
          <w:szCs w:val="22"/>
          <w:u w:val="single"/>
        </w:rPr>
      </w:pPr>
      <w:r w:rsidRPr="00711EE7">
        <w:rPr>
          <w:b/>
          <w:sz w:val="22"/>
          <w:szCs w:val="22"/>
          <w:u w:val="single"/>
        </w:rPr>
        <w:t>Dosage Form/Strengths</w:t>
      </w:r>
      <w:r w:rsidR="00AF07EA">
        <w:rPr>
          <w:b/>
          <w:sz w:val="22"/>
          <w:szCs w:val="22"/>
          <w:u w:val="single"/>
        </w:rPr>
        <w:t xml:space="preserve"> and Handling</w:t>
      </w:r>
    </w:p>
    <w:p w:rsidR="00711EE7" w:rsidRDefault="00D81382">
      <w:pPr>
        <w:rPr>
          <w:sz w:val="20"/>
          <w:szCs w:val="20"/>
        </w:rPr>
      </w:pPr>
      <w:r>
        <w:rPr>
          <w:sz w:val="20"/>
          <w:szCs w:val="20"/>
        </w:rPr>
        <w:t xml:space="preserve">FF/VI </w:t>
      </w:r>
      <w:r w:rsidR="006015B3" w:rsidRPr="00711EE7">
        <w:rPr>
          <w:sz w:val="20"/>
          <w:szCs w:val="20"/>
        </w:rPr>
        <w:t xml:space="preserve">is </w:t>
      </w:r>
      <w:r w:rsidR="00AA3A80">
        <w:rPr>
          <w:sz w:val="20"/>
          <w:szCs w:val="20"/>
        </w:rPr>
        <w:t xml:space="preserve">available </w:t>
      </w:r>
      <w:r w:rsidR="006015B3" w:rsidRPr="00711EE7">
        <w:rPr>
          <w:sz w:val="20"/>
          <w:szCs w:val="20"/>
        </w:rPr>
        <w:t xml:space="preserve">via a </w:t>
      </w:r>
      <w:r w:rsidR="00AF07EA">
        <w:rPr>
          <w:sz w:val="20"/>
          <w:szCs w:val="20"/>
        </w:rPr>
        <w:t xml:space="preserve">multi-dose dry powder </w:t>
      </w:r>
      <w:r w:rsidR="00030473">
        <w:rPr>
          <w:sz w:val="20"/>
          <w:szCs w:val="20"/>
        </w:rPr>
        <w:t>inhaler</w:t>
      </w:r>
      <w:r w:rsidR="00AA3A80">
        <w:rPr>
          <w:sz w:val="20"/>
          <w:szCs w:val="20"/>
        </w:rPr>
        <w:t xml:space="preserve"> containing 100mcg of fluticasone furoate and 25mcg of vilanterol</w:t>
      </w:r>
      <w:r w:rsidR="00236E34">
        <w:rPr>
          <w:sz w:val="20"/>
          <w:szCs w:val="20"/>
        </w:rPr>
        <w:t xml:space="preserve">. </w:t>
      </w:r>
      <w:r>
        <w:rPr>
          <w:sz w:val="20"/>
          <w:szCs w:val="20"/>
        </w:rPr>
        <w:t>Each inhaler is preloaded with 3</w:t>
      </w:r>
      <w:r w:rsidR="00AF07EA">
        <w:rPr>
          <w:sz w:val="20"/>
          <w:szCs w:val="20"/>
        </w:rPr>
        <w:t xml:space="preserve">0 doses of the drug. </w:t>
      </w:r>
      <w:r w:rsidR="00711EE7">
        <w:rPr>
          <w:sz w:val="20"/>
          <w:szCs w:val="20"/>
        </w:rPr>
        <w:t>The inhaler has a dose indicator that shows the number of remaining doses.</w:t>
      </w:r>
    </w:p>
    <w:p w:rsidR="00716B76" w:rsidRDefault="00716B76">
      <w:pPr>
        <w:rPr>
          <w:sz w:val="20"/>
          <w:szCs w:val="20"/>
        </w:rPr>
      </w:pPr>
    </w:p>
    <w:p w:rsidR="00AF07EA" w:rsidRDefault="00D81382">
      <w:pPr>
        <w:rPr>
          <w:sz w:val="20"/>
          <w:szCs w:val="20"/>
        </w:rPr>
      </w:pPr>
      <w:r>
        <w:rPr>
          <w:sz w:val="20"/>
          <w:szCs w:val="20"/>
        </w:rPr>
        <w:t>Store FF/VI</w:t>
      </w:r>
      <w:r w:rsidR="00711EE7">
        <w:rPr>
          <w:sz w:val="20"/>
          <w:szCs w:val="20"/>
        </w:rPr>
        <w:t xml:space="preserve"> in a dry pl</w:t>
      </w:r>
      <w:r>
        <w:rPr>
          <w:sz w:val="20"/>
          <w:szCs w:val="20"/>
        </w:rPr>
        <w:t>ace between 68-</w:t>
      </w:r>
      <w:r w:rsidR="00711EE7">
        <w:rPr>
          <w:sz w:val="20"/>
          <w:szCs w:val="20"/>
        </w:rPr>
        <w:t>77°F; excursions between 59-86°F are permitted.</w:t>
      </w:r>
      <w:r w:rsidR="00777DCD">
        <w:rPr>
          <w:sz w:val="20"/>
          <w:szCs w:val="20"/>
        </w:rPr>
        <w:t xml:space="preserve"> </w:t>
      </w:r>
      <w:r>
        <w:rPr>
          <w:sz w:val="20"/>
          <w:szCs w:val="20"/>
        </w:rPr>
        <w:t xml:space="preserve">FF/VI </w:t>
      </w:r>
      <w:r w:rsidR="00AF07EA">
        <w:rPr>
          <w:sz w:val="20"/>
          <w:szCs w:val="20"/>
        </w:rPr>
        <w:t>is sup</w:t>
      </w:r>
      <w:r>
        <w:rPr>
          <w:sz w:val="20"/>
          <w:szCs w:val="20"/>
        </w:rPr>
        <w:t>plied in a moisture protective foil tray</w:t>
      </w:r>
      <w:r w:rsidR="00AF07EA">
        <w:rPr>
          <w:sz w:val="20"/>
          <w:szCs w:val="20"/>
        </w:rPr>
        <w:t xml:space="preserve">.  The inhaler should be discarded </w:t>
      </w:r>
      <w:r>
        <w:rPr>
          <w:sz w:val="20"/>
          <w:szCs w:val="20"/>
        </w:rPr>
        <w:t>6 weeks after opening the foil tray or when the dose counter reads</w:t>
      </w:r>
      <w:r w:rsidR="00AF07EA">
        <w:rPr>
          <w:sz w:val="20"/>
          <w:szCs w:val="20"/>
        </w:rPr>
        <w:t xml:space="preserve"> “0”, </w:t>
      </w:r>
      <w:r w:rsidR="00013B89">
        <w:rPr>
          <w:sz w:val="20"/>
          <w:szCs w:val="20"/>
        </w:rPr>
        <w:t>whichever comes first.</w:t>
      </w:r>
    </w:p>
    <w:p w:rsidR="00D12D16" w:rsidRDefault="00D12D16">
      <w:pPr>
        <w:rPr>
          <w:sz w:val="20"/>
          <w:szCs w:val="20"/>
        </w:rPr>
      </w:pPr>
    </w:p>
    <w:p w:rsidR="000A3F76" w:rsidRPr="00A252AD" w:rsidRDefault="000A3F76">
      <w:pPr>
        <w:rPr>
          <w:b/>
          <w:sz w:val="22"/>
          <w:szCs w:val="22"/>
          <w:u w:val="single"/>
        </w:rPr>
      </w:pPr>
      <w:r w:rsidRPr="00A252AD">
        <w:rPr>
          <w:b/>
          <w:sz w:val="22"/>
          <w:szCs w:val="22"/>
          <w:u w:val="single"/>
        </w:rPr>
        <w:t>Efficacy</w:t>
      </w:r>
    </w:p>
    <w:p w:rsidR="00B8048A" w:rsidRDefault="0058679E">
      <w:pPr>
        <w:rPr>
          <w:sz w:val="20"/>
          <w:szCs w:val="20"/>
        </w:rPr>
      </w:pPr>
      <w:r>
        <w:rPr>
          <w:sz w:val="20"/>
          <w:szCs w:val="20"/>
        </w:rPr>
        <w:t xml:space="preserve">This review will only discuss use in COPD and will not address studies conducted in patients with asthma.  </w:t>
      </w:r>
      <w:r w:rsidR="00AB7BBB">
        <w:rPr>
          <w:sz w:val="20"/>
          <w:szCs w:val="20"/>
        </w:rPr>
        <w:t xml:space="preserve">The clinical trial development program for COPD consists </w:t>
      </w:r>
      <w:r w:rsidR="004938EE">
        <w:rPr>
          <w:sz w:val="20"/>
          <w:szCs w:val="20"/>
        </w:rPr>
        <w:t>of the</w:t>
      </w:r>
      <w:r w:rsidR="00E63CCB">
        <w:rPr>
          <w:sz w:val="20"/>
          <w:szCs w:val="20"/>
        </w:rPr>
        <w:t xml:space="preserve"> studies shown in </w:t>
      </w:r>
      <w:r w:rsidR="001E2EA0">
        <w:rPr>
          <w:b/>
          <w:sz w:val="20"/>
          <w:szCs w:val="20"/>
          <w:u w:val="single"/>
        </w:rPr>
        <w:t>T</w:t>
      </w:r>
      <w:r w:rsidR="00970B3D">
        <w:rPr>
          <w:b/>
          <w:sz w:val="20"/>
          <w:szCs w:val="20"/>
          <w:u w:val="single"/>
        </w:rPr>
        <w:t>able 2</w:t>
      </w:r>
      <w:r w:rsidR="00E63CCB">
        <w:rPr>
          <w:sz w:val="20"/>
          <w:szCs w:val="20"/>
        </w:rPr>
        <w:t>.</w:t>
      </w:r>
      <w:r w:rsidR="00F75134">
        <w:rPr>
          <w:sz w:val="20"/>
          <w:szCs w:val="20"/>
        </w:rPr>
        <w:t xml:space="preserve">  At the time of this writing, 4</w:t>
      </w:r>
      <w:r w:rsidR="00F615F1">
        <w:rPr>
          <w:sz w:val="20"/>
          <w:szCs w:val="20"/>
        </w:rPr>
        <w:t xml:space="preserve"> trials have been published</w:t>
      </w:r>
      <w:r w:rsidR="001E2EA0">
        <w:rPr>
          <w:sz w:val="20"/>
          <w:szCs w:val="20"/>
        </w:rPr>
        <w:t>; the small 4</w:t>
      </w:r>
      <w:r w:rsidR="008D1D35">
        <w:rPr>
          <w:sz w:val="20"/>
          <w:szCs w:val="20"/>
        </w:rPr>
        <w:t>-</w:t>
      </w:r>
      <w:r w:rsidR="001E2EA0">
        <w:rPr>
          <w:sz w:val="20"/>
          <w:szCs w:val="20"/>
        </w:rPr>
        <w:t xml:space="preserve">week trial by </w:t>
      </w:r>
      <w:proofErr w:type="spellStart"/>
      <w:r w:rsidR="001E2EA0">
        <w:rPr>
          <w:sz w:val="20"/>
          <w:szCs w:val="20"/>
        </w:rPr>
        <w:t>Lotvall</w:t>
      </w:r>
      <w:proofErr w:type="spellEnd"/>
      <w:r w:rsidR="001E2EA0">
        <w:rPr>
          <w:sz w:val="20"/>
          <w:szCs w:val="20"/>
        </w:rPr>
        <w:t xml:space="preserve"> compared an unapproved dose (FF/VI 400/25) to placebo and will not be further discussed.</w:t>
      </w:r>
      <w:r w:rsidR="00F615F1">
        <w:rPr>
          <w:sz w:val="20"/>
          <w:szCs w:val="20"/>
        </w:rPr>
        <w:t xml:space="preserve">  Information for the remaining trials was obtained from the FDA review.</w:t>
      </w:r>
    </w:p>
    <w:p w:rsidR="00E63CCB" w:rsidRDefault="00E63CCB">
      <w:pPr>
        <w:rPr>
          <w:sz w:val="20"/>
          <w:szCs w:val="20"/>
        </w:rPr>
      </w:pPr>
    </w:p>
    <w:p w:rsidR="006339CE" w:rsidRPr="006339CE" w:rsidRDefault="006339CE">
      <w:pPr>
        <w:rPr>
          <w:rFonts w:asciiTheme="minorHAnsi" w:hAnsiTheme="minorHAnsi"/>
          <w:b/>
          <w:sz w:val="20"/>
          <w:szCs w:val="20"/>
        </w:rPr>
      </w:pPr>
      <w:r w:rsidRPr="006339CE">
        <w:rPr>
          <w:rFonts w:asciiTheme="minorHAnsi" w:hAnsiTheme="minorHAnsi"/>
          <w:b/>
          <w:sz w:val="20"/>
          <w:szCs w:val="20"/>
        </w:rPr>
        <w:t>Table</w:t>
      </w:r>
      <w:r w:rsidR="00970B3D">
        <w:rPr>
          <w:rFonts w:asciiTheme="minorHAnsi" w:hAnsiTheme="minorHAnsi"/>
          <w:b/>
          <w:sz w:val="20"/>
          <w:szCs w:val="20"/>
        </w:rPr>
        <w:t xml:space="preserve"> 2: Clinical Trials in COPD</w:t>
      </w:r>
    </w:p>
    <w:tbl>
      <w:tblPr>
        <w:tblStyle w:val="TableGrid"/>
        <w:tblW w:w="10188" w:type="dxa"/>
        <w:tblLook w:val="04A0" w:firstRow="1" w:lastRow="0" w:firstColumn="1" w:lastColumn="0" w:noHBand="0" w:noVBand="1"/>
      </w:tblPr>
      <w:tblGrid>
        <w:gridCol w:w="1548"/>
        <w:gridCol w:w="1440"/>
        <w:gridCol w:w="630"/>
        <w:gridCol w:w="1080"/>
        <w:gridCol w:w="1800"/>
        <w:gridCol w:w="3690"/>
      </w:tblGrid>
      <w:tr w:rsidR="00BC25CC" w:rsidRPr="00E63CCB" w:rsidTr="006339CE">
        <w:tc>
          <w:tcPr>
            <w:tcW w:w="1548" w:type="dxa"/>
            <w:tcBorders>
              <w:left w:val="nil"/>
              <w:right w:val="nil"/>
            </w:tcBorders>
            <w:shd w:val="clear" w:color="auto" w:fill="D9D9D9" w:themeFill="background1" w:themeFillShade="D9"/>
          </w:tcPr>
          <w:p w:rsidR="00BC25CC" w:rsidRPr="00E63CCB" w:rsidRDefault="00BC25CC">
            <w:pPr>
              <w:rPr>
                <w:rFonts w:asciiTheme="minorHAnsi" w:hAnsiTheme="minorHAnsi"/>
                <w:sz w:val="16"/>
                <w:szCs w:val="16"/>
              </w:rPr>
            </w:pPr>
          </w:p>
        </w:tc>
        <w:tc>
          <w:tcPr>
            <w:tcW w:w="1440" w:type="dxa"/>
            <w:tcBorders>
              <w:left w:val="nil"/>
              <w:right w:val="nil"/>
            </w:tcBorders>
            <w:shd w:val="clear" w:color="auto" w:fill="D9D9D9" w:themeFill="background1" w:themeFillShade="D9"/>
          </w:tcPr>
          <w:p w:rsidR="00BC25CC" w:rsidRPr="00D724F6" w:rsidRDefault="00BC25CC">
            <w:pPr>
              <w:rPr>
                <w:rFonts w:asciiTheme="minorHAnsi" w:hAnsiTheme="minorHAnsi"/>
                <w:b/>
                <w:sz w:val="16"/>
                <w:szCs w:val="16"/>
              </w:rPr>
            </w:pPr>
            <w:r w:rsidRPr="00D724F6">
              <w:rPr>
                <w:rFonts w:asciiTheme="minorHAnsi" w:hAnsiTheme="minorHAnsi"/>
                <w:b/>
                <w:sz w:val="16"/>
                <w:szCs w:val="16"/>
              </w:rPr>
              <w:t>Study</w:t>
            </w:r>
          </w:p>
        </w:tc>
        <w:tc>
          <w:tcPr>
            <w:tcW w:w="630" w:type="dxa"/>
            <w:tcBorders>
              <w:left w:val="nil"/>
              <w:right w:val="nil"/>
            </w:tcBorders>
            <w:shd w:val="clear" w:color="auto" w:fill="D9D9D9" w:themeFill="background1" w:themeFillShade="D9"/>
          </w:tcPr>
          <w:p w:rsidR="00BC25CC" w:rsidRPr="00D724F6" w:rsidRDefault="00BC25CC">
            <w:pPr>
              <w:rPr>
                <w:rFonts w:asciiTheme="minorHAnsi" w:hAnsiTheme="minorHAnsi"/>
                <w:b/>
                <w:sz w:val="16"/>
                <w:szCs w:val="16"/>
              </w:rPr>
            </w:pPr>
            <w:r>
              <w:rPr>
                <w:rFonts w:asciiTheme="minorHAnsi" w:hAnsiTheme="minorHAnsi"/>
                <w:b/>
                <w:sz w:val="16"/>
                <w:szCs w:val="16"/>
              </w:rPr>
              <w:t>n</w:t>
            </w:r>
          </w:p>
        </w:tc>
        <w:tc>
          <w:tcPr>
            <w:tcW w:w="1080" w:type="dxa"/>
            <w:tcBorders>
              <w:left w:val="nil"/>
              <w:right w:val="nil"/>
            </w:tcBorders>
            <w:shd w:val="clear" w:color="auto" w:fill="D9D9D9" w:themeFill="background1" w:themeFillShade="D9"/>
          </w:tcPr>
          <w:p w:rsidR="00BC25CC" w:rsidRPr="00D724F6" w:rsidRDefault="00BC25CC">
            <w:pPr>
              <w:rPr>
                <w:rFonts w:asciiTheme="minorHAnsi" w:hAnsiTheme="minorHAnsi"/>
                <w:b/>
                <w:sz w:val="16"/>
                <w:szCs w:val="16"/>
              </w:rPr>
            </w:pPr>
            <w:r w:rsidRPr="00D724F6">
              <w:rPr>
                <w:rFonts w:asciiTheme="minorHAnsi" w:hAnsiTheme="minorHAnsi"/>
                <w:b/>
                <w:sz w:val="16"/>
                <w:szCs w:val="16"/>
              </w:rPr>
              <w:t>Duration</w:t>
            </w:r>
          </w:p>
        </w:tc>
        <w:tc>
          <w:tcPr>
            <w:tcW w:w="1800" w:type="dxa"/>
            <w:tcBorders>
              <w:left w:val="nil"/>
              <w:right w:val="nil"/>
            </w:tcBorders>
            <w:shd w:val="clear" w:color="auto" w:fill="D9D9D9" w:themeFill="background1" w:themeFillShade="D9"/>
          </w:tcPr>
          <w:p w:rsidR="00BC25CC" w:rsidRPr="00D724F6" w:rsidRDefault="00BC25CC">
            <w:pPr>
              <w:rPr>
                <w:rFonts w:asciiTheme="minorHAnsi" w:hAnsiTheme="minorHAnsi"/>
                <w:b/>
                <w:sz w:val="16"/>
                <w:szCs w:val="16"/>
              </w:rPr>
            </w:pPr>
            <w:r w:rsidRPr="00D724F6">
              <w:rPr>
                <w:rFonts w:asciiTheme="minorHAnsi" w:hAnsiTheme="minorHAnsi"/>
                <w:b/>
                <w:sz w:val="16"/>
                <w:szCs w:val="16"/>
              </w:rPr>
              <w:t>Type of Study</w:t>
            </w:r>
          </w:p>
        </w:tc>
        <w:tc>
          <w:tcPr>
            <w:tcW w:w="3690" w:type="dxa"/>
            <w:tcBorders>
              <w:left w:val="nil"/>
              <w:right w:val="nil"/>
            </w:tcBorders>
            <w:shd w:val="clear" w:color="auto" w:fill="D9D9D9" w:themeFill="background1" w:themeFillShade="D9"/>
          </w:tcPr>
          <w:p w:rsidR="00BC25CC" w:rsidRPr="00D724F6" w:rsidRDefault="00BC25CC">
            <w:pPr>
              <w:rPr>
                <w:rFonts w:asciiTheme="minorHAnsi" w:hAnsiTheme="minorHAnsi"/>
                <w:b/>
                <w:sz w:val="16"/>
                <w:szCs w:val="16"/>
              </w:rPr>
            </w:pPr>
            <w:r>
              <w:rPr>
                <w:rFonts w:asciiTheme="minorHAnsi" w:hAnsiTheme="minorHAnsi"/>
                <w:b/>
                <w:sz w:val="16"/>
                <w:szCs w:val="16"/>
              </w:rPr>
              <w:t>Treatment Arms</w:t>
            </w:r>
          </w:p>
        </w:tc>
      </w:tr>
      <w:tr w:rsidR="00BC25CC" w:rsidRPr="00E63CCB" w:rsidTr="006339CE">
        <w:tc>
          <w:tcPr>
            <w:tcW w:w="1548" w:type="dxa"/>
            <w:tcBorders>
              <w:left w:val="nil"/>
              <w:right w:val="nil"/>
            </w:tcBorders>
            <w:vAlign w:val="center"/>
          </w:tcPr>
          <w:p w:rsidR="00BC25CC" w:rsidRPr="00E63CCB" w:rsidRDefault="00BC25CC" w:rsidP="004938EE">
            <w:pPr>
              <w:rPr>
                <w:rFonts w:asciiTheme="minorHAnsi" w:hAnsiTheme="minorHAnsi"/>
                <w:sz w:val="16"/>
                <w:szCs w:val="16"/>
              </w:rPr>
            </w:pPr>
            <w:r>
              <w:rPr>
                <w:rFonts w:asciiTheme="minorHAnsi" w:hAnsiTheme="minorHAnsi"/>
                <w:sz w:val="16"/>
                <w:szCs w:val="16"/>
              </w:rPr>
              <w:t>Primary Studies</w:t>
            </w:r>
          </w:p>
        </w:tc>
        <w:tc>
          <w:tcPr>
            <w:tcW w:w="1440" w:type="dxa"/>
            <w:tcBorders>
              <w:left w:val="nil"/>
              <w:right w:val="nil"/>
            </w:tcBorders>
          </w:tcPr>
          <w:p w:rsidR="00BC25CC" w:rsidRDefault="00BC25CC">
            <w:pPr>
              <w:rPr>
                <w:rFonts w:asciiTheme="minorHAnsi" w:hAnsiTheme="minorHAnsi"/>
                <w:sz w:val="16"/>
                <w:szCs w:val="16"/>
              </w:rPr>
            </w:pPr>
            <w:proofErr w:type="spellStart"/>
            <w:r>
              <w:rPr>
                <w:rFonts w:asciiTheme="minorHAnsi" w:hAnsiTheme="minorHAnsi"/>
                <w:sz w:val="16"/>
                <w:szCs w:val="16"/>
              </w:rPr>
              <w:t>Kerwin</w:t>
            </w:r>
            <w:proofErr w:type="spellEnd"/>
            <w:r>
              <w:rPr>
                <w:rFonts w:asciiTheme="minorHAnsi" w:hAnsiTheme="minorHAnsi"/>
                <w:sz w:val="16"/>
                <w:szCs w:val="16"/>
              </w:rPr>
              <w:t xml:space="preserve"> 2013</w:t>
            </w:r>
          </w:p>
          <w:p w:rsidR="00BC25CC" w:rsidRDefault="00BC25CC">
            <w:pPr>
              <w:rPr>
                <w:rFonts w:asciiTheme="minorHAnsi" w:hAnsiTheme="minorHAnsi"/>
                <w:sz w:val="16"/>
                <w:szCs w:val="16"/>
              </w:rPr>
            </w:pPr>
            <w:r>
              <w:rPr>
                <w:rFonts w:asciiTheme="minorHAnsi" w:hAnsiTheme="minorHAnsi"/>
                <w:sz w:val="16"/>
                <w:szCs w:val="16"/>
              </w:rPr>
              <w:t>Martinez 2013</w:t>
            </w:r>
          </w:p>
          <w:p w:rsidR="00BC25CC" w:rsidRDefault="00BC25CC">
            <w:pPr>
              <w:rPr>
                <w:rFonts w:asciiTheme="minorHAnsi" w:hAnsiTheme="minorHAnsi"/>
                <w:sz w:val="16"/>
                <w:szCs w:val="16"/>
              </w:rPr>
            </w:pPr>
            <w:r>
              <w:rPr>
                <w:rFonts w:asciiTheme="minorHAnsi" w:hAnsiTheme="minorHAnsi"/>
                <w:sz w:val="16"/>
                <w:szCs w:val="16"/>
              </w:rPr>
              <w:t>Study 102970</w:t>
            </w:r>
          </w:p>
          <w:p w:rsidR="00BC25CC" w:rsidRPr="00E63CCB" w:rsidRDefault="00BC25CC">
            <w:pPr>
              <w:rPr>
                <w:rFonts w:asciiTheme="minorHAnsi" w:hAnsiTheme="minorHAnsi"/>
                <w:sz w:val="16"/>
                <w:szCs w:val="16"/>
              </w:rPr>
            </w:pPr>
            <w:r>
              <w:rPr>
                <w:rFonts w:asciiTheme="minorHAnsi" w:hAnsiTheme="minorHAnsi"/>
                <w:sz w:val="16"/>
                <w:szCs w:val="16"/>
              </w:rPr>
              <w:t>Study 102871</w:t>
            </w:r>
          </w:p>
        </w:tc>
        <w:tc>
          <w:tcPr>
            <w:tcW w:w="630" w:type="dxa"/>
            <w:tcBorders>
              <w:left w:val="nil"/>
              <w:right w:val="nil"/>
            </w:tcBorders>
          </w:tcPr>
          <w:p w:rsidR="00BC25CC" w:rsidRDefault="00BC25CC">
            <w:pPr>
              <w:rPr>
                <w:rFonts w:asciiTheme="minorHAnsi" w:hAnsiTheme="minorHAnsi"/>
                <w:sz w:val="16"/>
                <w:szCs w:val="16"/>
              </w:rPr>
            </w:pPr>
            <w:r>
              <w:rPr>
                <w:rFonts w:asciiTheme="minorHAnsi" w:hAnsiTheme="minorHAnsi"/>
                <w:sz w:val="16"/>
                <w:szCs w:val="16"/>
              </w:rPr>
              <w:t>1030</w:t>
            </w:r>
          </w:p>
          <w:p w:rsidR="00BC25CC" w:rsidRDefault="00BC25CC">
            <w:pPr>
              <w:rPr>
                <w:rFonts w:asciiTheme="minorHAnsi" w:hAnsiTheme="minorHAnsi"/>
                <w:sz w:val="16"/>
                <w:szCs w:val="16"/>
              </w:rPr>
            </w:pPr>
            <w:r>
              <w:rPr>
                <w:rFonts w:asciiTheme="minorHAnsi" w:hAnsiTheme="minorHAnsi"/>
                <w:sz w:val="16"/>
                <w:szCs w:val="16"/>
              </w:rPr>
              <w:t>1224</w:t>
            </w:r>
          </w:p>
          <w:p w:rsidR="00BC25CC" w:rsidRDefault="00BC25CC">
            <w:pPr>
              <w:rPr>
                <w:rFonts w:asciiTheme="minorHAnsi" w:hAnsiTheme="minorHAnsi"/>
                <w:sz w:val="16"/>
                <w:szCs w:val="16"/>
              </w:rPr>
            </w:pPr>
            <w:r>
              <w:rPr>
                <w:rFonts w:asciiTheme="minorHAnsi" w:hAnsiTheme="minorHAnsi"/>
                <w:sz w:val="16"/>
                <w:szCs w:val="16"/>
              </w:rPr>
              <w:t>1633</w:t>
            </w:r>
          </w:p>
          <w:p w:rsidR="00BC25CC" w:rsidRDefault="00BC25CC">
            <w:pPr>
              <w:rPr>
                <w:rFonts w:asciiTheme="minorHAnsi" w:hAnsiTheme="minorHAnsi"/>
                <w:sz w:val="16"/>
                <w:szCs w:val="16"/>
              </w:rPr>
            </w:pPr>
            <w:r>
              <w:rPr>
                <w:rFonts w:asciiTheme="minorHAnsi" w:hAnsiTheme="minorHAnsi"/>
                <w:sz w:val="16"/>
                <w:szCs w:val="16"/>
              </w:rPr>
              <w:t>1622</w:t>
            </w:r>
          </w:p>
        </w:tc>
        <w:tc>
          <w:tcPr>
            <w:tcW w:w="1080" w:type="dxa"/>
            <w:tcBorders>
              <w:left w:val="nil"/>
              <w:right w:val="nil"/>
            </w:tcBorders>
          </w:tcPr>
          <w:p w:rsidR="00BC25CC" w:rsidRDefault="00BC25CC">
            <w:pPr>
              <w:rPr>
                <w:rFonts w:asciiTheme="minorHAnsi" w:hAnsiTheme="minorHAnsi"/>
                <w:sz w:val="16"/>
                <w:szCs w:val="16"/>
              </w:rPr>
            </w:pPr>
            <w:r>
              <w:rPr>
                <w:rFonts w:asciiTheme="minorHAnsi" w:hAnsiTheme="minorHAnsi"/>
                <w:sz w:val="16"/>
                <w:szCs w:val="16"/>
              </w:rPr>
              <w:t xml:space="preserve">6-months </w:t>
            </w:r>
          </w:p>
          <w:p w:rsidR="00BC25CC" w:rsidRDefault="00BC25CC">
            <w:pPr>
              <w:rPr>
                <w:rFonts w:asciiTheme="minorHAnsi" w:hAnsiTheme="minorHAnsi"/>
                <w:sz w:val="16"/>
                <w:szCs w:val="16"/>
              </w:rPr>
            </w:pPr>
            <w:r>
              <w:rPr>
                <w:rFonts w:asciiTheme="minorHAnsi" w:hAnsiTheme="minorHAnsi"/>
                <w:sz w:val="16"/>
                <w:szCs w:val="16"/>
              </w:rPr>
              <w:t>6-months</w:t>
            </w:r>
          </w:p>
          <w:p w:rsidR="00BC25CC" w:rsidRDefault="00BC25CC">
            <w:pPr>
              <w:rPr>
                <w:rFonts w:asciiTheme="minorHAnsi" w:hAnsiTheme="minorHAnsi"/>
                <w:sz w:val="16"/>
                <w:szCs w:val="16"/>
              </w:rPr>
            </w:pPr>
            <w:r>
              <w:rPr>
                <w:rFonts w:asciiTheme="minorHAnsi" w:hAnsiTheme="minorHAnsi"/>
                <w:sz w:val="16"/>
                <w:szCs w:val="16"/>
              </w:rPr>
              <w:t xml:space="preserve">1-year </w:t>
            </w:r>
          </w:p>
          <w:p w:rsidR="00BC25CC" w:rsidRPr="00E63CCB" w:rsidRDefault="00BC25CC" w:rsidP="004938EE">
            <w:pPr>
              <w:rPr>
                <w:rFonts w:asciiTheme="minorHAnsi" w:hAnsiTheme="minorHAnsi"/>
                <w:sz w:val="16"/>
                <w:szCs w:val="16"/>
              </w:rPr>
            </w:pPr>
            <w:r>
              <w:rPr>
                <w:rFonts w:asciiTheme="minorHAnsi" w:hAnsiTheme="minorHAnsi"/>
                <w:sz w:val="16"/>
                <w:szCs w:val="16"/>
              </w:rPr>
              <w:t xml:space="preserve">1-year </w:t>
            </w:r>
          </w:p>
        </w:tc>
        <w:tc>
          <w:tcPr>
            <w:tcW w:w="1800" w:type="dxa"/>
            <w:tcBorders>
              <w:left w:val="nil"/>
              <w:right w:val="nil"/>
            </w:tcBorders>
          </w:tcPr>
          <w:p w:rsidR="00BC25CC" w:rsidRDefault="00BC25CC" w:rsidP="004938EE">
            <w:pPr>
              <w:rPr>
                <w:rFonts w:asciiTheme="minorHAnsi" w:hAnsiTheme="minorHAnsi"/>
                <w:sz w:val="16"/>
                <w:szCs w:val="16"/>
              </w:rPr>
            </w:pPr>
            <w:r>
              <w:rPr>
                <w:rFonts w:asciiTheme="minorHAnsi" w:hAnsiTheme="minorHAnsi"/>
                <w:sz w:val="16"/>
                <w:szCs w:val="16"/>
              </w:rPr>
              <w:t>Lung function study</w:t>
            </w:r>
          </w:p>
          <w:p w:rsidR="00BC25CC" w:rsidRDefault="00BC25CC" w:rsidP="004938EE">
            <w:pPr>
              <w:rPr>
                <w:rFonts w:asciiTheme="minorHAnsi" w:hAnsiTheme="minorHAnsi"/>
                <w:sz w:val="16"/>
                <w:szCs w:val="16"/>
              </w:rPr>
            </w:pPr>
            <w:r>
              <w:rPr>
                <w:rFonts w:asciiTheme="minorHAnsi" w:hAnsiTheme="minorHAnsi"/>
                <w:sz w:val="16"/>
                <w:szCs w:val="16"/>
              </w:rPr>
              <w:t>Lung function study</w:t>
            </w:r>
          </w:p>
          <w:p w:rsidR="00BC25CC" w:rsidRDefault="00BC25CC" w:rsidP="004938EE">
            <w:pPr>
              <w:rPr>
                <w:rFonts w:asciiTheme="minorHAnsi" w:hAnsiTheme="minorHAnsi"/>
                <w:sz w:val="16"/>
                <w:szCs w:val="16"/>
              </w:rPr>
            </w:pPr>
            <w:r>
              <w:rPr>
                <w:rFonts w:asciiTheme="minorHAnsi" w:hAnsiTheme="minorHAnsi"/>
                <w:sz w:val="16"/>
                <w:szCs w:val="16"/>
              </w:rPr>
              <w:t>Exacerbation study</w:t>
            </w:r>
          </w:p>
          <w:p w:rsidR="00BC25CC" w:rsidRDefault="00BC25CC" w:rsidP="004938EE">
            <w:pPr>
              <w:rPr>
                <w:rFonts w:asciiTheme="minorHAnsi" w:hAnsiTheme="minorHAnsi"/>
                <w:sz w:val="16"/>
                <w:szCs w:val="16"/>
              </w:rPr>
            </w:pPr>
            <w:r>
              <w:rPr>
                <w:rFonts w:asciiTheme="minorHAnsi" w:hAnsiTheme="minorHAnsi"/>
                <w:sz w:val="16"/>
                <w:szCs w:val="16"/>
              </w:rPr>
              <w:t>Exacerbation study</w:t>
            </w:r>
          </w:p>
        </w:tc>
        <w:tc>
          <w:tcPr>
            <w:tcW w:w="3690" w:type="dxa"/>
            <w:tcBorders>
              <w:left w:val="nil"/>
              <w:right w:val="nil"/>
            </w:tcBorders>
          </w:tcPr>
          <w:p w:rsidR="00BC25CC" w:rsidRDefault="00BC25CC" w:rsidP="005A4CF6">
            <w:pPr>
              <w:rPr>
                <w:rFonts w:asciiTheme="minorHAnsi" w:hAnsiTheme="minorHAnsi"/>
                <w:sz w:val="16"/>
                <w:szCs w:val="16"/>
              </w:rPr>
            </w:pPr>
            <w:r>
              <w:rPr>
                <w:rFonts w:asciiTheme="minorHAnsi" w:hAnsiTheme="minorHAnsi"/>
                <w:sz w:val="16"/>
                <w:szCs w:val="16"/>
              </w:rPr>
              <w:t>FF/VI 100/25; FF/VI 50/25; FF 100; VI 25; PBO</w:t>
            </w:r>
          </w:p>
          <w:p w:rsidR="00BC25CC" w:rsidRDefault="00BC25CC" w:rsidP="005A4CF6">
            <w:pPr>
              <w:rPr>
                <w:rFonts w:asciiTheme="minorHAnsi" w:hAnsiTheme="minorHAnsi"/>
                <w:sz w:val="16"/>
                <w:szCs w:val="16"/>
              </w:rPr>
            </w:pPr>
            <w:r>
              <w:rPr>
                <w:rFonts w:asciiTheme="minorHAnsi" w:hAnsiTheme="minorHAnsi"/>
                <w:sz w:val="16"/>
                <w:szCs w:val="16"/>
              </w:rPr>
              <w:t>FF/VI 200/25; FF/VI 100/25; FF200; FF100; VI25; PBO</w:t>
            </w:r>
          </w:p>
          <w:p w:rsidR="00BC25CC" w:rsidRDefault="00BC25CC" w:rsidP="005A4CF6">
            <w:pPr>
              <w:rPr>
                <w:rFonts w:asciiTheme="minorHAnsi" w:hAnsiTheme="minorHAnsi"/>
                <w:sz w:val="16"/>
                <w:szCs w:val="16"/>
              </w:rPr>
            </w:pPr>
            <w:r>
              <w:rPr>
                <w:rFonts w:asciiTheme="minorHAnsi" w:hAnsiTheme="minorHAnsi"/>
                <w:sz w:val="16"/>
                <w:szCs w:val="16"/>
              </w:rPr>
              <w:t>FF/VI 200/25; FF/VI 100/25; FF/VI 50/25; VI 25</w:t>
            </w:r>
          </w:p>
          <w:p w:rsidR="00BC25CC" w:rsidRDefault="00BC25CC" w:rsidP="005A4CF6">
            <w:pPr>
              <w:rPr>
                <w:rFonts w:asciiTheme="minorHAnsi" w:hAnsiTheme="minorHAnsi"/>
                <w:sz w:val="16"/>
                <w:szCs w:val="16"/>
              </w:rPr>
            </w:pPr>
            <w:r>
              <w:rPr>
                <w:rFonts w:asciiTheme="minorHAnsi" w:hAnsiTheme="minorHAnsi"/>
                <w:sz w:val="16"/>
                <w:szCs w:val="16"/>
              </w:rPr>
              <w:t>FF/VI 200/25; FF/VI 100/25; FF/VI 50/25; VI 25</w:t>
            </w:r>
          </w:p>
        </w:tc>
      </w:tr>
      <w:tr w:rsidR="00BC25CC" w:rsidRPr="00E63CCB" w:rsidTr="006339CE">
        <w:tc>
          <w:tcPr>
            <w:tcW w:w="1548" w:type="dxa"/>
            <w:tcBorders>
              <w:left w:val="nil"/>
              <w:right w:val="nil"/>
            </w:tcBorders>
            <w:vAlign w:val="center"/>
          </w:tcPr>
          <w:p w:rsidR="00BC25CC" w:rsidRPr="00E63CCB" w:rsidRDefault="00BC25CC" w:rsidP="004938EE">
            <w:pPr>
              <w:rPr>
                <w:rFonts w:asciiTheme="minorHAnsi" w:hAnsiTheme="minorHAnsi"/>
                <w:sz w:val="16"/>
                <w:szCs w:val="16"/>
              </w:rPr>
            </w:pPr>
            <w:r>
              <w:rPr>
                <w:rFonts w:asciiTheme="minorHAnsi" w:hAnsiTheme="minorHAnsi"/>
                <w:sz w:val="16"/>
                <w:szCs w:val="16"/>
              </w:rPr>
              <w:t>Supporting Studies</w:t>
            </w:r>
          </w:p>
        </w:tc>
        <w:tc>
          <w:tcPr>
            <w:tcW w:w="1440" w:type="dxa"/>
            <w:tcBorders>
              <w:left w:val="nil"/>
              <w:right w:val="nil"/>
            </w:tcBorders>
          </w:tcPr>
          <w:p w:rsidR="00BC25CC" w:rsidRDefault="00BC25CC">
            <w:pPr>
              <w:rPr>
                <w:rFonts w:asciiTheme="minorHAnsi" w:hAnsiTheme="minorHAnsi"/>
                <w:sz w:val="16"/>
                <w:szCs w:val="16"/>
              </w:rPr>
            </w:pPr>
            <w:r>
              <w:rPr>
                <w:rFonts w:asciiTheme="minorHAnsi" w:hAnsiTheme="minorHAnsi"/>
                <w:sz w:val="16"/>
                <w:szCs w:val="16"/>
              </w:rPr>
              <w:t>Study 110946</w:t>
            </w:r>
          </w:p>
          <w:p w:rsidR="00BC25CC" w:rsidRDefault="00BC25CC">
            <w:pPr>
              <w:rPr>
                <w:rFonts w:asciiTheme="minorHAnsi" w:hAnsiTheme="minorHAnsi"/>
                <w:sz w:val="16"/>
                <w:szCs w:val="16"/>
              </w:rPr>
            </w:pPr>
            <w:proofErr w:type="spellStart"/>
            <w:r>
              <w:rPr>
                <w:rFonts w:asciiTheme="minorHAnsi" w:hAnsiTheme="minorHAnsi"/>
                <w:sz w:val="16"/>
                <w:szCs w:val="16"/>
              </w:rPr>
              <w:t>Lotvall</w:t>
            </w:r>
            <w:proofErr w:type="spellEnd"/>
            <w:r>
              <w:rPr>
                <w:rFonts w:asciiTheme="minorHAnsi" w:hAnsiTheme="minorHAnsi"/>
                <w:sz w:val="16"/>
                <w:szCs w:val="16"/>
              </w:rPr>
              <w:t xml:space="preserve"> 2012</w:t>
            </w:r>
          </w:p>
          <w:p w:rsidR="00BC25CC" w:rsidRDefault="001C5322">
            <w:pPr>
              <w:rPr>
                <w:rFonts w:asciiTheme="minorHAnsi" w:hAnsiTheme="minorHAnsi"/>
                <w:sz w:val="16"/>
                <w:szCs w:val="16"/>
              </w:rPr>
            </w:pPr>
            <w:proofErr w:type="spellStart"/>
            <w:r>
              <w:rPr>
                <w:rFonts w:asciiTheme="minorHAnsi" w:hAnsiTheme="minorHAnsi"/>
                <w:sz w:val="16"/>
                <w:szCs w:val="16"/>
              </w:rPr>
              <w:t>Agusti</w:t>
            </w:r>
            <w:proofErr w:type="spellEnd"/>
            <w:r>
              <w:rPr>
                <w:rFonts w:asciiTheme="minorHAnsi" w:hAnsiTheme="minorHAnsi"/>
                <w:sz w:val="16"/>
                <w:szCs w:val="16"/>
              </w:rPr>
              <w:t xml:space="preserve"> 2013</w:t>
            </w:r>
          </w:p>
          <w:p w:rsidR="00BC25CC" w:rsidRDefault="00BC25CC">
            <w:pPr>
              <w:rPr>
                <w:rFonts w:asciiTheme="minorHAnsi" w:hAnsiTheme="minorHAnsi"/>
                <w:sz w:val="16"/>
                <w:szCs w:val="16"/>
              </w:rPr>
            </w:pPr>
            <w:r>
              <w:rPr>
                <w:rFonts w:asciiTheme="minorHAnsi" w:hAnsiTheme="minorHAnsi"/>
                <w:sz w:val="16"/>
                <w:szCs w:val="16"/>
              </w:rPr>
              <w:t>Study 113109</w:t>
            </w:r>
          </w:p>
          <w:p w:rsidR="00BC25CC" w:rsidRPr="00E63CCB" w:rsidRDefault="00BC25CC">
            <w:pPr>
              <w:rPr>
                <w:rFonts w:asciiTheme="minorHAnsi" w:hAnsiTheme="minorHAnsi"/>
                <w:sz w:val="16"/>
                <w:szCs w:val="16"/>
              </w:rPr>
            </w:pPr>
            <w:r>
              <w:rPr>
                <w:rFonts w:asciiTheme="minorHAnsi" w:hAnsiTheme="minorHAnsi"/>
                <w:sz w:val="16"/>
                <w:szCs w:val="16"/>
              </w:rPr>
              <w:t>Study 112352</w:t>
            </w:r>
          </w:p>
        </w:tc>
        <w:tc>
          <w:tcPr>
            <w:tcW w:w="630" w:type="dxa"/>
            <w:tcBorders>
              <w:left w:val="nil"/>
              <w:right w:val="nil"/>
            </w:tcBorders>
          </w:tcPr>
          <w:p w:rsidR="00BC25CC" w:rsidRDefault="00BC25CC">
            <w:pPr>
              <w:rPr>
                <w:rFonts w:asciiTheme="minorHAnsi" w:hAnsiTheme="minorHAnsi"/>
                <w:sz w:val="16"/>
                <w:szCs w:val="16"/>
              </w:rPr>
            </w:pPr>
            <w:r>
              <w:rPr>
                <w:rFonts w:asciiTheme="minorHAnsi" w:hAnsiTheme="minorHAnsi"/>
                <w:sz w:val="16"/>
                <w:szCs w:val="16"/>
              </w:rPr>
              <w:t>54</w:t>
            </w:r>
          </w:p>
          <w:p w:rsidR="00BC25CC" w:rsidRDefault="00BC25CC">
            <w:pPr>
              <w:rPr>
                <w:rFonts w:asciiTheme="minorHAnsi" w:hAnsiTheme="minorHAnsi"/>
                <w:sz w:val="16"/>
                <w:szCs w:val="16"/>
              </w:rPr>
            </w:pPr>
            <w:r>
              <w:rPr>
                <w:rFonts w:asciiTheme="minorHAnsi" w:hAnsiTheme="minorHAnsi"/>
                <w:sz w:val="16"/>
                <w:szCs w:val="16"/>
              </w:rPr>
              <w:t>60</w:t>
            </w:r>
          </w:p>
          <w:p w:rsidR="00BC25CC" w:rsidRDefault="00BC25CC">
            <w:pPr>
              <w:rPr>
                <w:rFonts w:asciiTheme="minorHAnsi" w:hAnsiTheme="minorHAnsi"/>
                <w:sz w:val="16"/>
                <w:szCs w:val="16"/>
              </w:rPr>
            </w:pPr>
            <w:r>
              <w:rPr>
                <w:rFonts w:asciiTheme="minorHAnsi" w:hAnsiTheme="minorHAnsi"/>
                <w:sz w:val="16"/>
                <w:szCs w:val="16"/>
              </w:rPr>
              <w:t>528</w:t>
            </w:r>
          </w:p>
          <w:p w:rsidR="00BC25CC" w:rsidRDefault="00BC25CC">
            <w:pPr>
              <w:rPr>
                <w:rFonts w:asciiTheme="minorHAnsi" w:hAnsiTheme="minorHAnsi"/>
                <w:sz w:val="16"/>
                <w:szCs w:val="16"/>
              </w:rPr>
            </w:pPr>
            <w:r>
              <w:rPr>
                <w:rFonts w:asciiTheme="minorHAnsi" w:hAnsiTheme="minorHAnsi"/>
                <w:sz w:val="16"/>
                <w:szCs w:val="16"/>
              </w:rPr>
              <w:t>519</w:t>
            </w:r>
          </w:p>
          <w:p w:rsidR="00BC25CC" w:rsidRDefault="00BC25CC">
            <w:pPr>
              <w:rPr>
                <w:rFonts w:asciiTheme="minorHAnsi" w:hAnsiTheme="minorHAnsi"/>
                <w:sz w:val="16"/>
                <w:szCs w:val="16"/>
              </w:rPr>
            </w:pPr>
            <w:r>
              <w:rPr>
                <w:rFonts w:asciiTheme="minorHAnsi" w:hAnsiTheme="minorHAnsi"/>
                <w:sz w:val="16"/>
                <w:szCs w:val="16"/>
              </w:rPr>
              <w:t>511</w:t>
            </w:r>
          </w:p>
        </w:tc>
        <w:tc>
          <w:tcPr>
            <w:tcW w:w="1080" w:type="dxa"/>
            <w:tcBorders>
              <w:left w:val="nil"/>
              <w:right w:val="nil"/>
            </w:tcBorders>
          </w:tcPr>
          <w:p w:rsidR="00BC25CC" w:rsidRDefault="00BC25CC">
            <w:pPr>
              <w:rPr>
                <w:rFonts w:asciiTheme="minorHAnsi" w:hAnsiTheme="minorHAnsi"/>
                <w:sz w:val="16"/>
                <w:szCs w:val="16"/>
              </w:rPr>
            </w:pPr>
            <w:r>
              <w:rPr>
                <w:rFonts w:asciiTheme="minorHAnsi" w:hAnsiTheme="minorHAnsi"/>
                <w:sz w:val="16"/>
                <w:szCs w:val="16"/>
              </w:rPr>
              <w:t>4-weeks</w:t>
            </w:r>
          </w:p>
          <w:p w:rsidR="00BC25CC" w:rsidRDefault="00BC25CC">
            <w:pPr>
              <w:rPr>
                <w:rFonts w:asciiTheme="minorHAnsi" w:hAnsiTheme="minorHAnsi"/>
                <w:sz w:val="16"/>
                <w:szCs w:val="16"/>
              </w:rPr>
            </w:pPr>
            <w:r>
              <w:rPr>
                <w:rFonts w:asciiTheme="minorHAnsi" w:hAnsiTheme="minorHAnsi"/>
                <w:sz w:val="16"/>
                <w:szCs w:val="16"/>
              </w:rPr>
              <w:t>4-weeks</w:t>
            </w:r>
          </w:p>
          <w:p w:rsidR="00BC25CC" w:rsidRDefault="00BC25CC">
            <w:pPr>
              <w:rPr>
                <w:rFonts w:asciiTheme="minorHAnsi" w:hAnsiTheme="minorHAnsi"/>
                <w:sz w:val="16"/>
                <w:szCs w:val="16"/>
              </w:rPr>
            </w:pPr>
            <w:r>
              <w:rPr>
                <w:rFonts w:asciiTheme="minorHAnsi" w:hAnsiTheme="minorHAnsi"/>
                <w:sz w:val="16"/>
                <w:szCs w:val="16"/>
              </w:rPr>
              <w:t>3-months</w:t>
            </w:r>
          </w:p>
          <w:p w:rsidR="00BC25CC" w:rsidRDefault="00BC25CC">
            <w:pPr>
              <w:rPr>
                <w:rFonts w:asciiTheme="minorHAnsi" w:hAnsiTheme="minorHAnsi"/>
                <w:sz w:val="16"/>
                <w:szCs w:val="16"/>
              </w:rPr>
            </w:pPr>
            <w:r>
              <w:rPr>
                <w:rFonts w:asciiTheme="minorHAnsi" w:hAnsiTheme="minorHAnsi"/>
                <w:sz w:val="16"/>
                <w:szCs w:val="16"/>
              </w:rPr>
              <w:t>3-months</w:t>
            </w:r>
          </w:p>
          <w:p w:rsidR="00BC25CC" w:rsidRPr="00E63CCB" w:rsidRDefault="00BC25CC">
            <w:pPr>
              <w:rPr>
                <w:rFonts w:asciiTheme="minorHAnsi" w:hAnsiTheme="minorHAnsi"/>
                <w:sz w:val="16"/>
                <w:szCs w:val="16"/>
              </w:rPr>
            </w:pPr>
            <w:r>
              <w:rPr>
                <w:rFonts w:asciiTheme="minorHAnsi" w:hAnsiTheme="minorHAnsi"/>
                <w:sz w:val="16"/>
                <w:szCs w:val="16"/>
              </w:rPr>
              <w:t>3-months</w:t>
            </w:r>
          </w:p>
        </w:tc>
        <w:tc>
          <w:tcPr>
            <w:tcW w:w="1800" w:type="dxa"/>
            <w:tcBorders>
              <w:left w:val="nil"/>
              <w:right w:val="nil"/>
            </w:tcBorders>
          </w:tcPr>
          <w:p w:rsidR="00BC25CC" w:rsidRDefault="00BC25CC">
            <w:pPr>
              <w:rPr>
                <w:rFonts w:asciiTheme="minorHAnsi" w:hAnsiTheme="minorHAnsi"/>
                <w:sz w:val="16"/>
                <w:szCs w:val="16"/>
              </w:rPr>
            </w:pPr>
            <w:r>
              <w:rPr>
                <w:rFonts w:asciiTheme="minorHAnsi" w:hAnsiTheme="minorHAnsi"/>
                <w:sz w:val="16"/>
                <w:szCs w:val="16"/>
              </w:rPr>
              <w:t>Serial FEV1 study</w:t>
            </w:r>
          </w:p>
          <w:p w:rsidR="00BC25CC" w:rsidRDefault="00BC25CC">
            <w:pPr>
              <w:rPr>
                <w:rFonts w:asciiTheme="minorHAnsi" w:hAnsiTheme="minorHAnsi"/>
                <w:sz w:val="16"/>
                <w:szCs w:val="16"/>
              </w:rPr>
            </w:pPr>
            <w:r>
              <w:rPr>
                <w:rFonts w:asciiTheme="minorHAnsi" w:hAnsiTheme="minorHAnsi"/>
                <w:sz w:val="16"/>
                <w:szCs w:val="16"/>
              </w:rPr>
              <w:t xml:space="preserve">Safety and efficacy </w:t>
            </w:r>
          </w:p>
          <w:p w:rsidR="00BC25CC" w:rsidRDefault="00BC25CC">
            <w:pPr>
              <w:rPr>
                <w:rFonts w:asciiTheme="minorHAnsi" w:hAnsiTheme="minorHAnsi"/>
                <w:sz w:val="16"/>
                <w:szCs w:val="16"/>
              </w:rPr>
            </w:pPr>
            <w:r>
              <w:rPr>
                <w:rFonts w:asciiTheme="minorHAnsi" w:hAnsiTheme="minorHAnsi"/>
                <w:sz w:val="16"/>
                <w:szCs w:val="16"/>
              </w:rPr>
              <w:t>Comparator vs. FP/SAL</w:t>
            </w:r>
          </w:p>
          <w:p w:rsidR="00BC25CC" w:rsidRDefault="00BC25CC" w:rsidP="004938EE">
            <w:pPr>
              <w:rPr>
                <w:rFonts w:asciiTheme="minorHAnsi" w:hAnsiTheme="minorHAnsi"/>
                <w:sz w:val="16"/>
                <w:szCs w:val="16"/>
              </w:rPr>
            </w:pPr>
            <w:r>
              <w:rPr>
                <w:rFonts w:asciiTheme="minorHAnsi" w:hAnsiTheme="minorHAnsi"/>
                <w:sz w:val="16"/>
                <w:szCs w:val="16"/>
              </w:rPr>
              <w:t>Comparator vs. FP/SAL</w:t>
            </w:r>
          </w:p>
          <w:p w:rsidR="00BC25CC" w:rsidRPr="00E63CCB" w:rsidRDefault="00BC25CC" w:rsidP="004938EE">
            <w:pPr>
              <w:rPr>
                <w:rFonts w:asciiTheme="minorHAnsi" w:hAnsiTheme="minorHAnsi"/>
                <w:sz w:val="16"/>
                <w:szCs w:val="16"/>
              </w:rPr>
            </w:pPr>
            <w:r>
              <w:rPr>
                <w:rFonts w:asciiTheme="minorHAnsi" w:hAnsiTheme="minorHAnsi"/>
                <w:sz w:val="16"/>
                <w:szCs w:val="16"/>
              </w:rPr>
              <w:t>Comparator vs. FP/SAL</w:t>
            </w:r>
          </w:p>
        </w:tc>
        <w:tc>
          <w:tcPr>
            <w:tcW w:w="3690" w:type="dxa"/>
            <w:tcBorders>
              <w:left w:val="nil"/>
              <w:right w:val="nil"/>
            </w:tcBorders>
          </w:tcPr>
          <w:p w:rsidR="00BC25CC" w:rsidRDefault="00802E67">
            <w:pPr>
              <w:rPr>
                <w:rFonts w:asciiTheme="minorHAnsi" w:hAnsiTheme="minorHAnsi"/>
                <w:sz w:val="16"/>
                <w:szCs w:val="16"/>
              </w:rPr>
            </w:pPr>
            <w:r>
              <w:rPr>
                <w:rFonts w:asciiTheme="minorHAnsi" w:hAnsiTheme="minorHAnsi"/>
                <w:sz w:val="16"/>
                <w:szCs w:val="16"/>
              </w:rPr>
              <w:t>FF/VI 100/25; FF/VI 50/25; FF/VI 200/25; PBO</w:t>
            </w:r>
          </w:p>
          <w:p w:rsidR="00BC25CC" w:rsidRDefault="00BC25CC">
            <w:pPr>
              <w:rPr>
                <w:rFonts w:asciiTheme="minorHAnsi" w:hAnsiTheme="minorHAnsi"/>
                <w:sz w:val="16"/>
                <w:szCs w:val="16"/>
              </w:rPr>
            </w:pPr>
            <w:r>
              <w:rPr>
                <w:rFonts w:asciiTheme="minorHAnsi" w:hAnsiTheme="minorHAnsi"/>
                <w:sz w:val="16"/>
                <w:szCs w:val="16"/>
              </w:rPr>
              <w:t>FF/VI 400/25; PBO</w:t>
            </w:r>
          </w:p>
          <w:p w:rsidR="00BC25CC" w:rsidRDefault="00BC25CC">
            <w:pPr>
              <w:rPr>
                <w:rFonts w:asciiTheme="minorHAnsi" w:hAnsiTheme="minorHAnsi"/>
                <w:sz w:val="16"/>
                <w:szCs w:val="16"/>
              </w:rPr>
            </w:pPr>
            <w:r>
              <w:rPr>
                <w:rFonts w:asciiTheme="minorHAnsi" w:hAnsiTheme="minorHAnsi"/>
                <w:sz w:val="16"/>
                <w:szCs w:val="16"/>
              </w:rPr>
              <w:t>FF/VI 100/25; FP/SAL 500/50</w:t>
            </w:r>
          </w:p>
          <w:p w:rsidR="00BC25CC" w:rsidRDefault="00BC25CC">
            <w:pPr>
              <w:rPr>
                <w:rFonts w:asciiTheme="minorHAnsi" w:hAnsiTheme="minorHAnsi"/>
                <w:sz w:val="16"/>
                <w:szCs w:val="16"/>
              </w:rPr>
            </w:pPr>
            <w:r>
              <w:rPr>
                <w:rFonts w:asciiTheme="minorHAnsi" w:hAnsiTheme="minorHAnsi"/>
                <w:sz w:val="16"/>
                <w:szCs w:val="16"/>
              </w:rPr>
              <w:t xml:space="preserve">FF/VI 100/25; </w:t>
            </w:r>
            <w:r w:rsidR="00802E67">
              <w:rPr>
                <w:rFonts w:asciiTheme="minorHAnsi" w:hAnsiTheme="minorHAnsi"/>
                <w:sz w:val="16"/>
                <w:szCs w:val="16"/>
              </w:rPr>
              <w:t>FP/SAL 250/50</w:t>
            </w:r>
          </w:p>
          <w:p w:rsidR="00802E67" w:rsidRDefault="00802E67" w:rsidP="00802E67">
            <w:pPr>
              <w:rPr>
                <w:rFonts w:asciiTheme="minorHAnsi" w:hAnsiTheme="minorHAnsi"/>
                <w:sz w:val="16"/>
                <w:szCs w:val="16"/>
              </w:rPr>
            </w:pPr>
            <w:r>
              <w:rPr>
                <w:rFonts w:asciiTheme="minorHAnsi" w:hAnsiTheme="minorHAnsi"/>
                <w:sz w:val="16"/>
                <w:szCs w:val="16"/>
              </w:rPr>
              <w:t>FF/VI 100/25; FP/SAL 250/50</w:t>
            </w:r>
          </w:p>
        </w:tc>
      </w:tr>
    </w:tbl>
    <w:p w:rsidR="00E63CCB" w:rsidRDefault="00E63CCB">
      <w:pPr>
        <w:rPr>
          <w:sz w:val="20"/>
          <w:szCs w:val="20"/>
        </w:rPr>
      </w:pPr>
    </w:p>
    <w:p w:rsidR="00787B83" w:rsidRPr="001B0B95" w:rsidRDefault="00787B83">
      <w:pPr>
        <w:rPr>
          <w:i/>
          <w:sz w:val="20"/>
          <w:szCs w:val="20"/>
          <w:u w:val="single"/>
        </w:rPr>
      </w:pPr>
      <w:r w:rsidRPr="001B0B95">
        <w:rPr>
          <w:i/>
          <w:sz w:val="20"/>
          <w:szCs w:val="20"/>
          <w:u w:val="single"/>
        </w:rPr>
        <w:t>Pulmonary function</w:t>
      </w:r>
      <w:r w:rsidR="003C316F">
        <w:rPr>
          <w:i/>
          <w:sz w:val="20"/>
          <w:szCs w:val="20"/>
          <w:u w:val="single"/>
        </w:rPr>
        <w:t xml:space="preserve"> </w:t>
      </w:r>
    </w:p>
    <w:p w:rsidR="005B4B7C" w:rsidRDefault="005B4B7C" w:rsidP="00B8048A">
      <w:pPr>
        <w:rPr>
          <w:sz w:val="20"/>
          <w:szCs w:val="20"/>
        </w:rPr>
      </w:pPr>
    </w:p>
    <w:p w:rsidR="005B4B7C" w:rsidRPr="005B4B7C" w:rsidRDefault="005B4B7C" w:rsidP="00B8048A">
      <w:pPr>
        <w:rPr>
          <w:sz w:val="20"/>
          <w:szCs w:val="20"/>
          <w:u w:val="single"/>
        </w:rPr>
      </w:pPr>
      <w:r w:rsidRPr="005B4B7C">
        <w:rPr>
          <w:sz w:val="20"/>
          <w:szCs w:val="20"/>
          <w:u w:val="single"/>
        </w:rPr>
        <w:t>6-month trials</w:t>
      </w:r>
    </w:p>
    <w:p w:rsidR="00062B7C" w:rsidRDefault="005B4B7C" w:rsidP="00B8048A">
      <w:pPr>
        <w:rPr>
          <w:sz w:val="20"/>
          <w:szCs w:val="20"/>
        </w:rPr>
      </w:pPr>
      <w:r>
        <w:rPr>
          <w:sz w:val="20"/>
          <w:szCs w:val="20"/>
        </w:rPr>
        <w:t>P</w:t>
      </w:r>
      <w:r w:rsidR="00062B7C">
        <w:rPr>
          <w:sz w:val="20"/>
          <w:szCs w:val="20"/>
        </w:rPr>
        <w:t>atients were required to have a post bronchodilator FEV1/FVC ratio ≤ 0.70, post bronchodilator FEV1 ≤ 70% predicted,</w:t>
      </w:r>
      <w:r w:rsidR="00010039">
        <w:rPr>
          <w:sz w:val="20"/>
          <w:szCs w:val="20"/>
        </w:rPr>
        <w:t xml:space="preserve"> Modified Medical Research Council (</w:t>
      </w:r>
      <w:proofErr w:type="spellStart"/>
      <w:r w:rsidR="00062B7C">
        <w:rPr>
          <w:sz w:val="20"/>
          <w:szCs w:val="20"/>
        </w:rPr>
        <w:t>mMRC</w:t>
      </w:r>
      <w:proofErr w:type="spellEnd"/>
      <w:r w:rsidR="00010039">
        <w:rPr>
          <w:sz w:val="20"/>
          <w:szCs w:val="20"/>
        </w:rPr>
        <w:t>)</w:t>
      </w:r>
      <w:r w:rsidR="00062B7C">
        <w:rPr>
          <w:sz w:val="20"/>
          <w:szCs w:val="20"/>
        </w:rPr>
        <w:t xml:space="preserve"> dyspnea score ≥ 2, and 10 pack-year smoking history.  </w:t>
      </w:r>
    </w:p>
    <w:p w:rsidR="001B26F1" w:rsidRDefault="00062B7C" w:rsidP="00B8048A">
      <w:pPr>
        <w:rPr>
          <w:sz w:val="20"/>
          <w:szCs w:val="20"/>
        </w:rPr>
      </w:pPr>
      <w:r>
        <w:rPr>
          <w:sz w:val="20"/>
          <w:szCs w:val="20"/>
        </w:rPr>
        <w:lastRenderedPageBreak/>
        <w:t xml:space="preserve">The primary endpoints </w:t>
      </w:r>
      <w:r w:rsidR="00010039">
        <w:rPr>
          <w:sz w:val="20"/>
          <w:szCs w:val="20"/>
        </w:rPr>
        <w:t xml:space="preserve">for the 6-month trials </w:t>
      </w:r>
      <w:r>
        <w:rPr>
          <w:sz w:val="20"/>
          <w:szCs w:val="20"/>
        </w:rPr>
        <w:t xml:space="preserve">were mean FEV1 0-4 hours post-dose on day 168 and change from baseline trough FEV1 on day 169.  </w:t>
      </w:r>
    </w:p>
    <w:p w:rsidR="005B4B7C" w:rsidRDefault="005B4B7C" w:rsidP="00B8048A">
      <w:pPr>
        <w:rPr>
          <w:sz w:val="20"/>
          <w:szCs w:val="20"/>
        </w:rPr>
      </w:pPr>
    </w:p>
    <w:p w:rsidR="001B26F1" w:rsidRDefault="001B26F1" w:rsidP="00B8048A">
      <w:pPr>
        <w:rPr>
          <w:sz w:val="20"/>
          <w:szCs w:val="20"/>
        </w:rPr>
      </w:pPr>
      <w:r>
        <w:rPr>
          <w:sz w:val="20"/>
          <w:szCs w:val="20"/>
        </w:rPr>
        <w:t>The mean demographic and baseline characteristics of patients</w:t>
      </w:r>
      <w:r w:rsidR="005B4B7C">
        <w:rPr>
          <w:sz w:val="20"/>
          <w:szCs w:val="20"/>
        </w:rPr>
        <w:t xml:space="preserve"> </w:t>
      </w:r>
      <w:r>
        <w:rPr>
          <w:sz w:val="20"/>
          <w:szCs w:val="20"/>
        </w:rPr>
        <w:t xml:space="preserve"> include: 62.1 years old, 70% male, 84% Caucasian, BMI 26.3, 54% current smokers, pack-years smoking history 44.1, post-albuterol FEV1% predicted 48.1, 24% had ≥ 1 moderate COPD exacerbation and 9% had ≥ 1 severe exacerbation.</w:t>
      </w:r>
    </w:p>
    <w:p w:rsidR="000E452D" w:rsidRDefault="000E452D" w:rsidP="00B8048A">
      <w:pPr>
        <w:rPr>
          <w:sz w:val="20"/>
          <w:szCs w:val="20"/>
        </w:rPr>
      </w:pPr>
    </w:p>
    <w:p w:rsidR="00BE74A7" w:rsidRDefault="005B3401" w:rsidP="00B8048A">
      <w:pPr>
        <w:rPr>
          <w:sz w:val="20"/>
          <w:szCs w:val="20"/>
        </w:rPr>
      </w:pPr>
      <w:r>
        <w:rPr>
          <w:sz w:val="20"/>
          <w:szCs w:val="20"/>
        </w:rPr>
        <w:t xml:space="preserve">In </w:t>
      </w:r>
      <w:proofErr w:type="spellStart"/>
      <w:r>
        <w:rPr>
          <w:sz w:val="20"/>
          <w:szCs w:val="20"/>
        </w:rPr>
        <w:t>Kerwin</w:t>
      </w:r>
      <w:proofErr w:type="spellEnd"/>
      <w:r>
        <w:rPr>
          <w:sz w:val="20"/>
          <w:szCs w:val="20"/>
        </w:rPr>
        <w:t xml:space="preserve"> et al., s</w:t>
      </w:r>
      <w:r w:rsidR="00265D83">
        <w:rPr>
          <w:sz w:val="20"/>
          <w:szCs w:val="20"/>
        </w:rPr>
        <w:t>tatistical analysis f</w:t>
      </w:r>
      <w:r w:rsidR="000E452D">
        <w:rPr>
          <w:sz w:val="20"/>
          <w:szCs w:val="20"/>
        </w:rPr>
        <w:t>or th</w:t>
      </w:r>
      <w:r w:rsidR="00265D83">
        <w:rPr>
          <w:sz w:val="20"/>
          <w:szCs w:val="20"/>
        </w:rPr>
        <w:t>e e</w:t>
      </w:r>
      <w:r w:rsidR="008E439C">
        <w:rPr>
          <w:sz w:val="20"/>
          <w:szCs w:val="20"/>
        </w:rPr>
        <w:t>ffect on pulmonary function was</w:t>
      </w:r>
      <w:r w:rsidR="00265D83">
        <w:rPr>
          <w:sz w:val="20"/>
          <w:szCs w:val="20"/>
        </w:rPr>
        <w:t xml:space="preserve"> limited to comparing FF/VI 100/25 </w:t>
      </w:r>
      <w:r>
        <w:rPr>
          <w:sz w:val="20"/>
          <w:szCs w:val="20"/>
        </w:rPr>
        <w:t xml:space="preserve">to placebo, FF100, VI25 and VI25 to placebo.  </w:t>
      </w:r>
      <w:r w:rsidR="00BE74A7">
        <w:rPr>
          <w:sz w:val="20"/>
          <w:szCs w:val="20"/>
        </w:rPr>
        <w:t xml:space="preserve">FEV1 (0-4h) was significantly greater with FF/VI 100/25 compared to FF100 and placebo; </w:t>
      </w:r>
      <w:r w:rsidR="00396217">
        <w:rPr>
          <w:sz w:val="20"/>
          <w:szCs w:val="20"/>
        </w:rPr>
        <w:t>the difference versus VI25 was not significant.</w:t>
      </w:r>
      <w:r w:rsidR="00396217" w:rsidRPr="00396217">
        <w:rPr>
          <w:sz w:val="20"/>
          <w:szCs w:val="20"/>
        </w:rPr>
        <w:t xml:space="preserve"> </w:t>
      </w:r>
      <w:r w:rsidR="00396217">
        <w:rPr>
          <w:sz w:val="20"/>
          <w:szCs w:val="20"/>
        </w:rPr>
        <w:t xml:space="preserve">Mean trough FEV1 was significantly greater with FF/VI 100/25 compared to placebo; the comparisons versus FF100 and VI25 were not significant.  </w:t>
      </w:r>
    </w:p>
    <w:p w:rsidR="00BE74A7" w:rsidRDefault="00BE74A7" w:rsidP="00B8048A">
      <w:pPr>
        <w:rPr>
          <w:sz w:val="20"/>
          <w:szCs w:val="20"/>
        </w:rPr>
      </w:pPr>
    </w:p>
    <w:p w:rsidR="00BE74A7" w:rsidRDefault="005B3401" w:rsidP="00BE74A7">
      <w:pPr>
        <w:rPr>
          <w:sz w:val="20"/>
          <w:szCs w:val="20"/>
        </w:rPr>
      </w:pPr>
      <w:r>
        <w:rPr>
          <w:sz w:val="20"/>
          <w:szCs w:val="20"/>
        </w:rPr>
        <w:t xml:space="preserve">In Martinez et al, statistical comparisons were limited to </w:t>
      </w:r>
      <w:r w:rsidR="00265D83">
        <w:rPr>
          <w:sz w:val="20"/>
          <w:szCs w:val="20"/>
        </w:rPr>
        <w:t xml:space="preserve">FF/VI 200/25 versus placebo, FF200, VI25 </w:t>
      </w:r>
      <w:r>
        <w:rPr>
          <w:sz w:val="20"/>
          <w:szCs w:val="20"/>
        </w:rPr>
        <w:t>and VI25 vs. placebo.</w:t>
      </w:r>
      <w:r w:rsidR="00BE74A7" w:rsidRPr="00BE74A7">
        <w:rPr>
          <w:sz w:val="20"/>
          <w:szCs w:val="20"/>
        </w:rPr>
        <w:t xml:space="preserve"> </w:t>
      </w:r>
      <w:r w:rsidR="00BE74A7">
        <w:rPr>
          <w:sz w:val="20"/>
          <w:szCs w:val="20"/>
        </w:rPr>
        <w:t xml:space="preserve">Mean FEV1 (0-4h) was significantly greater with FF/VI 200/25 compared to FF200 and placebo; the difference versus VI25 was not significant. </w:t>
      </w:r>
      <w:r w:rsidR="00A36A35">
        <w:rPr>
          <w:sz w:val="20"/>
          <w:szCs w:val="20"/>
        </w:rPr>
        <w:t>Mean trough FEV1 was significantly greater with FF/VI 200/25 compared to placebo; the comparisons versus FF200 and VI25 were not significant.</w:t>
      </w:r>
      <w:r w:rsidR="00BE74A7">
        <w:rPr>
          <w:sz w:val="20"/>
          <w:szCs w:val="20"/>
        </w:rPr>
        <w:t xml:space="preserve">  In both studies, VI25 was significantly better than placebo for </w:t>
      </w:r>
      <w:r w:rsidR="00A36A35">
        <w:rPr>
          <w:sz w:val="20"/>
          <w:szCs w:val="20"/>
        </w:rPr>
        <w:t xml:space="preserve">both </w:t>
      </w:r>
      <w:r w:rsidR="00BE74A7">
        <w:rPr>
          <w:sz w:val="20"/>
          <w:szCs w:val="20"/>
        </w:rPr>
        <w:t>FEV1 endpoints.</w:t>
      </w:r>
    </w:p>
    <w:p w:rsidR="00D47E9A" w:rsidRDefault="00D47E9A" w:rsidP="00BE74A7">
      <w:pPr>
        <w:rPr>
          <w:sz w:val="20"/>
          <w:szCs w:val="20"/>
        </w:rPr>
      </w:pPr>
    </w:p>
    <w:p w:rsidR="00D47E9A" w:rsidRDefault="00D47E9A" w:rsidP="00BE74A7">
      <w:pPr>
        <w:rPr>
          <w:sz w:val="20"/>
          <w:szCs w:val="20"/>
        </w:rPr>
      </w:pPr>
      <w:r>
        <w:rPr>
          <w:sz w:val="20"/>
          <w:szCs w:val="20"/>
        </w:rPr>
        <w:t xml:space="preserve">Although the study by Martinez did not provide a statistical analysis for the FF/VI 100/25 strength, the improvement in FEV1 endpoints was similar to the improvement observed in the </w:t>
      </w:r>
      <w:proofErr w:type="spellStart"/>
      <w:r>
        <w:rPr>
          <w:sz w:val="20"/>
          <w:szCs w:val="20"/>
        </w:rPr>
        <w:t>Kerwin</w:t>
      </w:r>
      <w:proofErr w:type="spellEnd"/>
      <w:r>
        <w:rPr>
          <w:sz w:val="20"/>
          <w:szCs w:val="20"/>
        </w:rPr>
        <w:t xml:space="preserve"> trial.</w:t>
      </w:r>
    </w:p>
    <w:p w:rsidR="00BE74A7" w:rsidRDefault="00BE74A7" w:rsidP="00BE74A7">
      <w:pPr>
        <w:rPr>
          <w:sz w:val="20"/>
          <w:szCs w:val="20"/>
        </w:rPr>
      </w:pPr>
    </w:p>
    <w:p w:rsidR="005B4B7C" w:rsidRPr="005B4B7C" w:rsidRDefault="005B4B7C" w:rsidP="00BE74A7">
      <w:pPr>
        <w:rPr>
          <w:sz w:val="20"/>
          <w:szCs w:val="20"/>
          <w:u w:val="single"/>
        </w:rPr>
      </w:pPr>
      <w:r w:rsidRPr="005B4B7C">
        <w:rPr>
          <w:sz w:val="20"/>
          <w:szCs w:val="20"/>
          <w:u w:val="single"/>
        </w:rPr>
        <w:t>1-year trials</w:t>
      </w:r>
    </w:p>
    <w:p w:rsidR="003101E2" w:rsidRDefault="005B4B7C" w:rsidP="003101E2">
      <w:pPr>
        <w:rPr>
          <w:sz w:val="20"/>
          <w:szCs w:val="20"/>
        </w:rPr>
      </w:pPr>
      <w:r>
        <w:rPr>
          <w:sz w:val="20"/>
          <w:szCs w:val="20"/>
        </w:rPr>
        <w:t>Patients had to have the same entry requirements as in the 6-month studies plus a history of ≥ 1 moderate/severe exacerbation in the previous 12 months.</w:t>
      </w:r>
      <w:r w:rsidRPr="005B4B7C">
        <w:rPr>
          <w:sz w:val="20"/>
          <w:szCs w:val="20"/>
        </w:rPr>
        <w:t xml:space="preserve"> </w:t>
      </w:r>
      <w:r>
        <w:rPr>
          <w:sz w:val="20"/>
          <w:szCs w:val="20"/>
        </w:rPr>
        <w:t>The primary endpoint was the annual rate of moderate and severe COPD exacerbations.</w:t>
      </w:r>
      <w:r w:rsidR="003101E2">
        <w:rPr>
          <w:sz w:val="20"/>
          <w:szCs w:val="20"/>
        </w:rPr>
        <w:t xml:space="preserve">  Trough FEV1 was a secondary endpoint.</w:t>
      </w:r>
    </w:p>
    <w:p w:rsidR="005B4B7C" w:rsidRDefault="005B4B7C" w:rsidP="005B4B7C">
      <w:pPr>
        <w:rPr>
          <w:sz w:val="20"/>
          <w:szCs w:val="20"/>
        </w:rPr>
      </w:pPr>
    </w:p>
    <w:p w:rsidR="00787204" w:rsidRDefault="00787204" w:rsidP="00787204">
      <w:pPr>
        <w:rPr>
          <w:sz w:val="20"/>
          <w:szCs w:val="20"/>
        </w:rPr>
      </w:pPr>
      <w:r>
        <w:rPr>
          <w:sz w:val="20"/>
          <w:szCs w:val="20"/>
        </w:rPr>
        <w:t>The mean demographic and baseline characteristics of patients  include: 63.7 years old, 57% male, 84% Caucasian, BMI 26.9, 44% current smokers, pack-years smoking history 46.2, post-albuterol FEV1% predicted 45.4, ≥ 1 moderate COPD exacerbation</w:t>
      </w:r>
      <w:r w:rsidR="003101E2">
        <w:rPr>
          <w:sz w:val="20"/>
          <w:szCs w:val="20"/>
        </w:rPr>
        <w:t xml:space="preserve"> 92%, </w:t>
      </w:r>
      <w:r>
        <w:rPr>
          <w:sz w:val="20"/>
          <w:szCs w:val="20"/>
        </w:rPr>
        <w:t xml:space="preserve"> and </w:t>
      </w:r>
      <w:r w:rsidR="003101E2">
        <w:rPr>
          <w:sz w:val="20"/>
          <w:szCs w:val="20"/>
        </w:rPr>
        <w:t xml:space="preserve"> </w:t>
      </w:r>
      <w:r>
        <w:rPr>
          <w:sz w:val="20"/>
          <w:szCs w:val="20"/>
        </w:rPr>
        <w:t>≥ 1 severe exacerbation</w:t>
      </w:r>
      <w:r w:rsidR="003101E2">
        <w:rPr>
          <w:sz w:val="20"/>
          <w:szCs w:val="20"/>
        </w:rPr>
        <w:t xml:space="preserve"> 20%</w:t>
      </w:r>
      <w:r>
        <w:rPr>
          <w:sz w:val="20"/>
          <w:szCs w:val="20"/>
        </w:rPr>
        <w:t>.</w:t>
      </w:r>
    </w:p>
    <w:p w:rsidR="003101E2" w:rsidRDefault="003101E2" w:rsidP="00787204">
      <w:pPr>
        <w:rPr>
          <w:sz w:val="20"/>
          <w:szCs w:val="20"/>
        </w:rPr>
      </w:pPr>
    </w:p>
    <w:p w:rsidR="00787204" w:rsidRDefault="003101E2" w:rsidP="005B4B7C">
      <w:pPr>
        <w:rPr>
          <w:sz w:val="20"/>
          <w:szCs w:val="20"/>
        </w:rPr>
      </w:pPr>
      <w:r>
        <w:rPr>
          <w:sz w:val="20"/>
          <w:szCs w:val="20"/>
        </w:rPr>
        <w:t xml:space="preserve">The point estimate </w:t>
      </w:r>
      <w:r w:rsidR="00765857">
        <w:rPr>
          <w:sz w:val="20"/>
          <w:szCs w:val="20"/>
        </w:rPr>
        <w:t>for trough</w:t>
      </w:r>
      <w:r>
        <w:rPr>
          <w:sz w:val="20"/>
          <w:szCs w:val="20"/>
        </w:rPr>
        <w:t xml:space="preserve"> FEV1 was estimated from a Forest Plot shown in the FDA review.  </w:t>
      </w:r>
      <w:r w:rsidR="00765857">
        <w:rPr>
          <w:sz w:val="20"/>
          <w:szCs w:val="20"/>
        </w:rPr>
        <w:t xml:space="preserve">FF/VI was compared to VI alone.  The contribution an ICS has </w:t>
      </w:r>
      <w:r w:rsidR="00950FDA">
        <w:rPr>
          <w:sz w:val="20"/>
          <w:szCs w:val="20"/>
        </w:rPr>
        <w:t xml:space="preserve">when added to a bronchodilator </w:t>
      </w:r>
      <w:r w:rsidR="00765857">
        <w:rPr>
          <w:sz w:val="20"/>
          <w:szCs w:val="20"/>
        </w:rPr>
        <w:t xml:space="preserve">on pulmonary function is small as shown in </w:t>
      </w:r>
      <w:r w:rsidR="00765857" w:rsidRPr="00765857">
        <w:rPr>
          <w:b/>
          <w:sz w:val="20"/>
          <w:szCs w:val="20"/>
          <w:u w:val="single"/>
        </w:rPr>
        <w:t xml:space="preserve">Table </w:t>
      </w:r>
      <w:r w:rsidR="00970B3D">
        <w:rPr>
          <w:b/>
          <w:sz w:val="20"/>
          <w:szCs w:val="20"/>
          <w:u w:val="single"/>
        </w:rPr>
        <w:t>3</w:t>
      </w:r>
      <w:r w:rsidR="00765857">
        <w:rPr>
          <w:sz w:val="20"/>
          <w:szCs w:val="20"/>
        </w:rPr>
        <w:t>.</w:t>
      </w:r>
    </w:p>
    <w:p w:rsidR="00765857" w:rsidRDefault="00765857" w:rsidP="005B4B7C">
      <w:pPr>
        <w:rPr>
          <w:sz w:val="20"/>
          <w:szCs w:val="20"/>
        </w:rPr>
      </w:pPr>
    </w:p>
    <w:p w:rsidR="00B36C80" w:rsidRPr="00765857" w:rsidRDefault="00765857" w:rsidP="00D32F01">
      <w:pPr>
        <w:rPr>
          <w:sz w:val="20"/>
          <w:szCs w:val="20"/>
          <w:u w:val="single"/>
        </w:rPr>
      </w:pPr>
      <w:r w:rsidRPr="00765857">
        <w:rPr>
          <w:sz w:val="20"/>
          <w:szCs w:val="20"/>
          <w:u w:val="single"/>
        </w:rPr>
        <w:t>3-month comparator trials</w:t>
      </w:r>
      <w:r>
        <w:rPr>
          <w:sz w:val="20"/>
          <w:szCs w:val="20"/>
          <w:u w:val="single"/>
        </w:rPr>
        <w:t xml:space="preserve"> (supportive studies)</w:t>
      </w:r>
    </w:p>
    <w:p w:rsidR="00E62926" w:rsidRDefault="007B1EC1" w:rsidP="00D32F01">
      <w:pPr>
        <w:rPr>
          <w:sz w:val="20"/>
          <w:szCs w:val="20"/>
        </w:rPr>
      </w:pPr>
      <w:r>
        <w:rPr>
          <w:sz w:val="20"/>
          <w:szCs w:val="20"/>
        </w:rPr>
        <w:t xml:space="preserve">These trials compared the approved dose of FF/VI 100/25 to fluticasone/salmeterol 250/50 and 500/50.  The primary endpoint was FEV1 (0-24 hours).  </w:t>
      </w:r>
      <w:r w:rsidR="000D22D3">
        <w:rPr>
          <w:sz w:val="20"/>
          <w:szCs w:val="20"/>
        </w:rPr>
        <w:t>The treatment difference was statistically significant in</w:t>
      </w:r>
      <w:r w:rsidR="008E439C">
        <w:rPr>
          <w:sz w:val="20"/>
          <w:szCs w:val="20"/>
        </w:rPr>
        <w:t xml:space="preserve"> only 1 </w:t>
      </w:r>
      <w:r w:rsidR="000D22D3">
        <w:rPr>
          <w:sz w:val="20"/>
          <w:szCs w:val="20"/>
        </w:rPr>
        <w:t>of the 3 trials.</w:t>
      </w:r>
      <w:r w:rsidR="00E62926">
        <w:rPr>
          <w:sz w:val="20"/>
          <w:szCs w:val="20"/>
        </w:rPr>
        <w:t xml:space="preserve">  </w:t>
      </w:r>
    </w:p>
    <w:p w:rsidR="00B32011" w:rsidRDefault="00B32011" w:rsidP="00D32F01">
      <w:pPr>
        <w:rPr>
          <w:rFonts w:asciiTheme="minorHAnsi" w:hAnsiTheme="minorHAnsi"/>
          <w:b/>
          <w:sz w:val="20"/>
          <w:szCs w:val="20"/>
        </w:rPr>
      </w:pPr>
    </w:p>
    <w:p w:rsidR="00CB47CB" w:rsidRPr="006A18E3" w:rsidRDefault="00CB47CB" w:rsidP="00D32F01">
      <w:pPr>
        <w:rPr>
          <w:rFonts w:asciiTheme="minorHAnsi" w:hAnsiTheme="minorHAnsi"/>
          <w:b/>
          <w:sz w:val="20"/>
          <w:szCs w:val="20"/>
        </w:rPr>
      </w:pPr>
      <w:r w:rsidRPr="006A18E3">
        <w:rPr>
          <w:rFonts w:asciiTheme="minorHAnsi" w:hAnsiTheme="minorHAnsi"/>
          <w:b/>
          <w:sz w:val="20"/>
          <w:szCs w:val="20"/>
        </w:rPr>
        <w:t>Table</w:t>
      </w:r>
      <w:r w:rsidR="00970B3D">
        <w:rPr>
          <w:rFonts w:asciiTheme="minorHAnsi" w:hAnsiTheme="minorHAnsi"/>
          <w:b/>
          <w:sz w:val="20"/>
          <w:szCs w:val="20"/>
        </w:rPr>
        <w:t xml:space="preserve"> 3</w:t>
      </w:r>
      <w:r w:rsidRPr="006A18E3">
        <w:rPr>
          <w:rFonts w:asciiTheme="minorHAnsi" w:hAnsiTheme="minorHAnsi"/>
          <w:b/>
          <w:sz w:val="20"/>
          <w:szCs w:val="20"/>
        </w:rPr>
        <w:t xml:space="preserve">: </w:t>
      </w:r>
      <w:r w:rsidR="002D5DBC">
        <w:rPr>
          <w:rFonts w:asciiTheme="minorHAnsi" w:hAnsiTheme="minorHAnsi"/>
          <w:b/>
          <w:sz w:val="20"/>
          <w:szCs w:val="20"/>
        </w:rPr>
        <w:t xml:space="preserve">Improvement in Pulmonary Function </w:t>
      </w:r>
    </w:p>
    <w:tbl>
      <w:tblPr>
        <w:tblStyle w:val="TableGrid"/>
        <w:tblW w:w="8206" w:type="dxa"/>
        <w:tblLook w:val="04A0" w:firstRow="1" w:lastRow="0" w:firstColumn="1" w:lastColumn="0" w:noHBand="0" w:noVBand="1"/>
      </w:tblPr>
      <w:tblGrid>
        <w:gridCol w:w="1188"/>
        <w:gridCol w:w="1152"/>
        <w:gridCol w:w="2340"/>
        <w:gridCol w:w="2086"/>
        <w:gridCol w:w="1440"/>
      </w:tblGrid>
      <w:tr w:rsidR="006339CE" w:rsidRPr="009D53B8" w:rsidTr="00F523C7">
        <w:trPr>
          <w:trHeight w:val="143"/>
        </w:trPr>
        <w:tc>
          <w:tcPr>
            <w:tcW w:w="1188" w:type="dxa"/>
            <w:vMerge w:val="restart"/>
            <w:tcBorders>
              <w:left w:val="nil"/>
              <w:right w:val="nil"/>
            </w:tcBorders>
            <w:shd w:val="clear" w:color="auto" w:fill="D9D9D9" w:themeFill="background1" w:themeFillShade="D9"/>
            <w:vAlign w:val="center"/>
          </w:tcPr>
          <w:p w:rsidR="006339CE" w:rsidRDefault="006339CE" w:rsidP="008B5B7F">
            <w:pPr>
              <w:rPr>
                <w:rFonts w:asciiTheme="minorHAnsi" w:hAnsiTheme="minorHAnsi"/>
                <w:b/>
                <w:sz w:val="16"/>
                <w:szCs w:val="16"/>
              </w:rPr>
            </w:pPr>
            <w:r>
              <w:rPr>
                <w:rFonts w:asciiTheme="minorHAnsi" w:hAnsiTheme="minorHAnsi"/>
                <w:b/>
                <w:sz w:val="16"/>
                <w:szCs w:val="16"/>
              </w:rPr>
              <w:t>Study</w:t>
            </w:r>
          </w:p>
        </w:tc>
        <w:tc>
          <w:tcPr>
            <w:tcW w:w="1152" w:type="dxa"/>
            <w:vMerge w:val="restart"/>
            <w:tcBorders>
              <w:left w:val="nil"/>
              <w:right w:val="nil"/>
            </w:tcBorders>
            <w:shd w:val="clear" w:color="auto" w:fill="D9D9D9" w:themeFill="background1" w:themeFillShade="D9"/>
            <w:vAlign w:val="center"/>
          </w:tcPr>
          <w:p w:rsidR="006339CE" w:rsidRDefault="00F523C7" w:rsidP="00F523C7">
            <w:pPr>
              <w:rPr>
                <w:rFonts w:asciiTheme="minorHAnsi" w:hAnsiTheme="minorHAnsi"/>
                <w:b/>
                <w:sz w:val="16"/>
                <w:szCs w:val="16"/>
              </w:rPr>
            </w:pPr>
            <w:r>
              <w:rPr>
                <w:rFonts w:asciiTheme="minorHAnsi" w:hAnsiTheme="minorHAnsi"/>
                <w:b/>
                <w:sz w:val="16"/>
                <w:szCs w:val="16"/>
              </w:rPr>
              <w:t>Duration</w:t>
            </w:r>
          </w:p>
        </w:tc>
        <w:tc>
          <w:tcPr>
            <w:tcW w:w="2340" w:type="dxa"/>
            <w:vMerge w:val="restart"/>
            <w:tcBorders>
              <w:left w:val="nil"/>
              <w:right w:val="nil"/>
            </w:tcBorders>
            <w:shd w:val="clear" w:color="auto" w:fill="D9D9D9" w:themeFill="background1" w:themeFillShade="D9"/>
            <w:vAlign w:val="center"/>
          </w:tcPr>
          <w:p w:rsidR="006339CE" w:rsidRDefault="006339CE" w:rsidP="008B5B7F">
            <w:pPr>
              <w:rPr>
                <w:rFonts w:asciiTheme="minorHAnsi" w:hAnsiTheme="minorHAnsi"/>
                <w:b/>
                <w:sz w:val="16"/>
                <w:szCs w:val="16"/>
              </w:rPr>
            </w:pPr>
            <w:r>
              <w:rPr>
                <w:rFonts w:asciiTheme="minorHAnsi" w:hAnsiTheme="minorHAnsi"/>
                <w:b/>
                <w:sz w:val="16"/>
                <w:szCs w:val="16"/>
              </w:rPr>
              <w:t>Comparisons</w:t>
            </w:r>
          </w:p>
        </w:tc>
        <w:tc>
          <w:tcPr>
            <w:tcW w:w="3526" w:type="dxa"/>
            <w:gridSpan w:val="2"/>
            <w:tcBorders>
              <w:left w:val="nil"/>
              <w:right w:val="nil"/>
            </w:tcBorders>
            <w:shd w:val="clear" w:color="auto" w:fill="D9D9D9" w:themeFill="background1" w:themeFillShade="D9"/>
          </w:tcPr>
          <w:p w:rsidR="006339CE" w:rsidRDefault="006339CE" w:rsidP="008B5B7F">
            <w:pPr>
              <w:jc w:val="center"/>
              <w:rPr>
                <w:rFonts w:asciiTheme="minorHAnsi" w:hAnsiTheme="minorHAnsi"/>
                <w:b/>
                <w:sz w:val="16"/>
                <w:szCs w:val="16"/>
              </w:rPr>
            </w:pPr>
            <w:r>
              <w:rPr>
                <w:rFonts w:asciiTheme="minorHAnsi" w:hAnsiTheme="minorHAnsi"/>
                <w:b/>
                <w:sz w:val="16"/>
                <w:szCs w:val="16"/>
              </w:rPr>
              <w:t>Treatment Difference [95% CI]</w:t>
            </w:r>
          </w:p>
        </w:tc>
      </w:tr>
      <w:tr w:rsidR="006339CE" w:rsidRPr="009D53B8" w:rsidTr="000E452D">
        <w:trPr>
          <w:trHeight w:val="143"/>
        </w:trPr>
        <w:tc>
          <w:tcPr>
            <w:tcW w:w="1188" w:type="dxa"/>
            <w:vMerge/>
            <w:tcBorders>
              <w:left w:val="nil"/>
              <w:right w:val="nil"/>
            </w:tcBorders>
            <w:shd w:val="clear" w:color="auto" w:fill="D9D9D9" w:themeFill="background1" w:themeFillShade="D9"/>
          </w:tcPr>
          <w:p w:rsidR="006339CE" w:rsidRPr="00D52901" w:rsidRDefault="006339CE" w:rsidP="00C978FE">
            <w:pPr>
              <w:rPr>
                <w:rFonts w:asciiTheme="minorHAnsi" w:hAnsiTheme="minorHAnsi"/>
                <w:b/>
                <w:sz w:val="16"/>
                <w:szCs w:val="16"/>
              </w:rPr>
            </w:pPr>
          </w:p>
        </w:tc>
        <w:tc>
          <w:tcPr>
            <w:tcW w:w="1152" w:type="dxa"/>
            <w:vMerge/>
            <w:tcBorders>
              <w:left w:val="nil"/>
              <w:right w:val="nil"/>
            </w:tcBorders>
            <w:shd w:val="clear" w:color="auto" w:fill="D9D9D9" w:themeFill="background1" w:themeFillShade="D9"/>
          </w:tcPr>
          <w:p w:rsidR="006339CE" w:rsidRDefault="006339CE" w:rsidP="00C978FE">
            <w:pPr>
              <w:rPr>
                <w:rFonts w:asciiTheme="minorHAnsi" w:hAnsiTheme="minorHAnsi"/>
                <w:b/>
                <w:sz w:val="16"/>
                <w:szCs w:val="16"/>
              </w:rPr>
            </w:pPr>
          </w:p>
        </w:tc>
        <w:tc>
          <w:tcPr>
            <w:tcW w:w="2340" w:type="dxa"/>
            <w:vMerge/>
            <w:tcBorders>
              <w:left w:val="nil"/>
              <w:right w:val="nil"/>
            </w:tcBorders>
            <w:shd w:val="clear" w:color="auto" w:fill="D9D9D9" w:themeFill="background1" w:themeFillShade="D9"/>
          </w:tcPr>
          <w:p w:rsidR="006339CE" w:rsidRDefault="006339CE" w:rsidP="00C978FE">
            <w:pPr>
              <w:rPr>
                <w:rFonts w:asciiTheme="minorHAnsi" w:hAnsiTheme="minorHAnsi"/>
                <w:b/>
                <w:sz w:val="16"/>
                <w:szCs w:val="16"/>
              </w:rPr>
            </w:pPr>
          </w:p>
        </w:tc>
        <w:tc>
          <w:tcPr>
            <w:tcW w:w="2086" w:type="dxa"/>
            <w:tcBorders>
              <w:left w:val="nil"/>
              <w:right w:val="nil"/>
            </w:tcBorders>
            <w:shd w:val="clear" w:color="auto" w:fill="D9D9D9" w:themeFill="background1" w:themeFillShade="D9"/>
          </w:tcPr>
          <w:p w:rsidR="006339CE" w:rsidRDefault="006339CE" w:rsidP="00C978FE">
            <w:pPr>
              <w:rPr>
                <w:rFonts w:asciiTheme="minorHAnsi" w:hAnsiTheme="minorHAnsi"/>
                <w:b/>
                <w:sz w:val="16"/>
                <w:szCs w:val="16"/>
              </w:rPr>
            </w:pPr>
            <w:r>
              <w:rPr>
                <w:rFonts w:asciiTheme="minorHAnsi" w:hAnsiTheme="minorHAnsi"/>
                <w:b/>
                <w:sz w:val="16"/>
                <w:szCs w:val="16"/>
              </w:rPr>
              <w:t>FEV1 (0-4h)</w:t>
            </w:r>
          </w:p>
        </w:tc>
        <w:tc>
          <w:tcPr>
            <w:tcW w:w="1440" w:type="dxa"/>
            <w:tcBorders>
              <w:left w:val="nil"/>
              <w:right w:val="nil"/>
            </w:tcBorders>
            <w:shd w:val="clear" w:color="auto" w:fill="D9D9D9" w:themeFill="background1" w:themeFillShade="D9"/>
          </w:tcPr>
          <w:p w:rsidR="006339CE" w:rsidRDefault="006339CE" w:rsidP="00C978FE">
            <w:pPr>
              <w:rPr>
                <w:rFonts w:asciiTheme="minorHAnsi" w:hAnsiTheme="minorHAnsi"/>
                <w:b/>
                <w:sz w:val="16"/>
                <w:szCs w:val="16"/>
              </w:rPr>
            </w:pPr>
            <w:r>
              <w:rPr>
                <w:rFonts w:asciiTheme="minorHAnsi" w:hAnsiTheme="minorHAnsi"/>
                <w:b/>
                <w:sz w:val="16"/>
                <w:szCs w:val="16"/>
              </w:rPr>
              <w:t>Trough FEV1</w:t>
            </w:r>
          </w:p>
        </w:tc>
      </w:tr>
      <w:tr w:rsidR="006339CE" w:rsidRPr="009D53B8" w:rsidTr="000E452D">
        <w:tc>
          <w:tcPr>
            <w:tcW w:w="1188" w:type="dxa"/>
            <w:tcBorders>
              <w:left w:val="nil"/>
              <w:right w:val="nil"/>
            </w:tcBorders>
            <w:vAlign w:val="center"/>
          </w:tcPr>
          <w:p w:rsidR="006339CE" w:rsidRDefault="006339CE" w:rsidP="006339CE">
            <w:pPr>
              <w:rPr>
                <w:rFonts w:asciiTheme="minorHAnsi" w:hAnsiTheme="minorHAnsi"/>
                <w:sz w:val="16"/>
                <w:szCs w:val="16"/>
              </w:rPr>
            </w:pPr>
          </w:p>
          <w:p w:rsidR="006339CE" w:rsidRDefault="006339CE" w:rsidP="006339CE">
            <w:pPr>
              <w:rPr>
                <w:rFonts w:asciiTheme="minorHAnsi" w:hAnsiTheme="minorHAnsi"/>
                <w:sz w:val="16"/>
                <w:szCs w:val="16"/>
              </w:rPr>
            </w:pPr>
            <w:proofErr w:type="spellStart"/>
            <w:r>
              <w:rPr>
                <w:rFonts w:asciiTheme="minorHAnsi" w:hAnsiTheme="minorHAnsi"/>
                <w:sz w:val="16"/>
                <w:szCs w:val="16"/>
              </w:rPr>
              <w:t>Kerwin</w:t>
            </w:r>
            <w:proofErr w:type="spellEnd"/>
            <w:r w:rsidR="00F11D2A">
              <w:rPr>
                <w:rFonts w:asciiTheme="minorHAnsi" w:hAnsiTheme="minorHAnsi"/>
                <w:sz w:val="16"/>
                <w:szCs w:val="16"/>
              </w:rPr>
              <w:t xml:space="preserve"> </w:t>
            </w:r>
          </w:p>
          <w:p w:rsidR="006339CE" w:rsidRDefault="00F11D2A" w:rsidP="006339CE">
            <w:pPr>
              <w:rPr>
                <w:rFonts w:asciiTheme="minorHAnsi" w:hAnsiTheme="minorHAnsi"/>
                <w:sz w:val="16"/>
                <w:szCs w:val="16"/>
              </w:rPr>
            </w:pPr>
            <w:r>
              <w:rPr>
                <w:rFonts w:asciiTheme="minorHAnsi" w:hAnsiTheme="minorHAnsi"/>
                <w:sz w:val="16"/>
                <w:szCs w:val="16"/>
              </w:rPr>
              <w:t xml:space="preserve"> </w:t>
            </w:r>
          </w:p>
          <w:p w:rsidR="00F11D2A" w:rsidRDefault="00F11D2A" w:rsidP="006339CE">
            <w:pPr>
              <w:rPr>
                <w:rFonts w:asciiTheme="minorHAnsi" w:hAnsiTheme="minorHAnsi"/>
                <w:sz w:val="16"/>
                <w:szCs w:val="16"/>
              </w:rPr>
            </w:pPr>
          </w:p>
        </w:tc>
        <w:tc>
          <w:tcPr>
            <w:tcW w:w="1152" w:type="dxa"/>
            <w:tcBorders>
              <w:left w:val="nil"/>
              <w:right w:val="nil"/>
            </w:tcBorders>
            <w:vAlign w:val="center"/>
          </w:tcPr>
          <w:p w:rsidR="006339CE" w:rsidRDefault="006339CE" w:rsidP="006339CE">
            <w:pPr>
              <w:rPr>
                <w:rFonts w:asciiTheme="minorHAnsi" w:hAnsiTheme="minorHAnsi"/>
                <w:sz w:val="16"/>
                <w:szCs w:val="16"/>
              </w:rPr>
            </w:pPr>
            <w:r>
              <w:rPr>
                <w:rFonts w:asciiTheme="minorHAnsi" w:hAnsiTheme="minorHAnsi"/>
                <w:sz w:val="16"/>
                <w:szCs w:val="16"/>
              </w:rPr>
              <w:t>6-months</w:t>
            </w:r>
          </w:p>
        </w:tc>
        <w:tc>
          <w:tcPr>
            <w:tcW w:w="2340" w:type="dxa"/>
            <w:tcBorders>
              <w:left w:val="nil"/>
              <w:right w:val="nil"/>
            </w:tcBorders>
          </w:tcPr>
          <w:p w:rsidR="006339CE" w:rsidRDefault="006339CE" w:rsidP="005A4CF6">
            <w:pPr>
              <w:rPr>
                <w:rFonts w:asciiTheme="minorHAnsi" w:hAnsiTheme="minorHAnsi"/>
                <w:sz w:val="16"/>
                <w:szCs w:val="16"/>
              </w:rPr>
            </w:pPr>
            <w:r>
              <w:rPr>
                <w:rFonts w:asciiTheme="minorHAnsi" w:hAnsiTheme="minorHAnsi"/>
                <w:sz w:val="16"/>
                <w:szCs w:val="16"/>
              </w:rPr>
              <w:t>FF/VI 100/25 vs. FF100</w:t>
            </w:r>
          </w:p>
          <w:p w:rsidR="006339CE" w:rsidRDefault="006339CE" w:rsidP="005A4CF6">
            <w:pPr>
              <w:rPr>
                <w:rFonts w:asciiTheme="minorHAnsi" w:hAnsiTheme="minorHAnsi"/>
                <w:sz w:val="16"/>
                <w:szCs w:val="16"/>
              </w:rPr>
            </w:pPr>
            <w:r>
              <w:rPr>
                <w:rFonts w:asciiTheme="minorHAnsi" w:hAnsiTheme="minorHAnsi"/>
                <w:sz w:val="16"/>
                <w:szCs w:val="16"/>
              </w:rPr>
              <w:t>FF/VI 100/25 vs.VI 25</w:t>
            </w:r>
          </w:p>
          <w:p w:rsidR="006339CE" w:rsidRDefault="006339CE" w:rsidP="005A4CF6">
            <w:pPr>
              <w:rPr>
                <w:rFonts w:asciiTheme="minorHAnsi" w:hAnsiTheme="minorHAnsi"/>
                <w:sz w:val="16"/>
                <w:szCs w:val="16"/>
              </w:rPr>
            </w:pPr>
            <w:r>
              <w:rPr>
                <w:rFonts w:asciiTheme="minorHAnsi" w:hAnsiTheme="minorHAnsi"/>
                <w:sz w:val="16"/>
                <w:szCs w:val="16"/>
              </w:rPr>
              <w:t>FF/VI 100/25 vs. PBO</w:t>
            </w:r>
          </w:p>
          <w:p w:rsidR="006339CE" w:rsidRDefault="006339CE" w:rsidP="005A4CF6">
            <w:pPr>
              <w:rPr>
                <w:rFonts w:asciiTheme="minorHAnsi" w:hAnsiTheme="minorHAnsi"/>
                <w:sz w:val="16"/>
                <w:szCs w:val="16"/>
              </w:rPr>
            </w:pPr>
            <w:r>
              <w:rPr>
                <w:rFonts w:asciiTheme="minorHAnsi" w:hAnsiTheme="minorHAnsi"/>
                <w:sz w:val="16"/>
                <w:szCs w:val="16"/>
              </w:rPr>
              <w:t>FF/VI 50/25 vs.VI 25</w:t>
            </w:r>
          </w:p>
          <w:p w:rsidR="006339CE" w:rsidRDefault="006339CE" w:rsidP="005A4CF6">
            <w:pPr>
              <w:rPr>
                <w:rFonts w:asciiTheme="minorHAnsi" w:hAnsiTheme="minorHAnsi"/>
                <w:sz w:val="16"/>
                <w:szCs w:val="16"/>
              </w:rPr>
            </w:pPr>
            <w:r>
              <w:rPr>
                <w:rFonts w:asciiTheme="minorHAnsi" w:hAnsiTheme="minorHAnsi"/>
                <w:sz w:val="16"/>
                <w:szCs w:val="16"/>
              </w:rPr>
              <w:t>FF/VI 50/25  vs. PBO</w:t>
            </w:r>
          </w:p>
          <w:p w:rsidR="006339CE" w:rsidRDefault="006339CE" w:rsidP="005A4CF6">
            <w:pPr>
              <w:rPr>
                <w:rFonts w:asciiTheme="minorHAnsi" w:hAnsiTheme="minorHAnsi"/>
                <w:sz w:val="16"/>
                <w:szCs w:val="16"/>
              </w:rPr>
            </w:pPr>
            <w:r>
              <w:rPr>
                <w:rFonts w:asciiTheme="minorHAnsi" w:hAnsiTheme="minorHAnsi"/>
                <w:sz w:val="16"/>
                <w:szCs w:val="16"/>
              </w:rPr>
              <w:t>VI 25 vs. PBO</w:t>
            </w:r>
          </w:p>
          <w:p w:rsidR="006339CE" w:rsidRDefault="006339CE" w:rsidP="005A4CF6">
            <w:pPr>
              <w:rPr>
                <w:rFonts w:asciiTheme="minorHAnsi" w:hAnsiTheme="minorHAnsi"/>
                <w:sz w:val="16"/>
                <w:szCs w:val="16"/>
              </w:rPr>
            </w:pPr>
            <w:r>
              <w:rPr>
                <w:rFonts w:asciiTheme="minorHAnsi" w:hAnsiTheme="minorHAnsi"/>
                <w:sz w:val="16"/>
                <w:szCs w:val="16"/>
              </w:rPr>
              <w:t>FF100 vs. PBO</w:t>
            </w:r>
          </w:p>
        </w:tc>
        <w:tc>
          <w:tcPr>
            <w:tcW w:w="2086" w:type="dxa"/>
            <w:tcBorders>
              <w:left w:val="nil"/>
              <w:right w:val="nil"/>
            </w:tcBorders>
          </w:tcPr>
          <w:p w:rsidR="006339CE" w:rsidRDefault="006339CE" w:rsidP="005A4CF6">
            <w:pPr>
              <w:rPr>
                <w:rFonts w:asciiTheme="minorHAnsi" w:hAnsiTheme="minorHAnsi"/>
                <w:sz w:val="16"/>
                <w:szCs w:val="16"/>
              </w:rPr>
            </w:pPr>
            <w:r>
              <w:rPr>
                <w:rFonts w:asciiTheme="minorHAnsi" w:hAnsiTheme="minorHAnsi"/>
                <w:sz w:val="16"/>
                <w:szCs w:val="16"/>
              </w:rPr>
              <w:t>120 [70, 170]</w:t>
            </w:r>
            <w:r w:rsidR="00265D83">
              <w:rPr>
                <w:rFonts w:asciiTheme="minorHAnsi" w:hAnsiTheme="minorHAnsi"/>
                <w:sz w:val="16"/>
                <w:szCs w:val="16"/>
              </w:rPr>
              <w:t>*</w:t>
            </w:r>
          </w:p>
          <w:p w:rsidR="006339CE" w:rsidRDefault="006339CE" w:rsidP="005A4CF6">
            <w:pPr>
              <w:rPr>
                <w:rFonts w:asciiTheme="minorHAnsi" w:hAnsiTheme="minorHAnsi"/>
                <w:sz w:val="16"/>
                <w:szCs w:val="16"/>
              </w:rPr>
            </w:pPr>
            <w:r>
              <w:rPr>
                <w:rFonts w:asciiTheme="minorHAnsi" w:hAnsiTheme="minorHAnsi"/>
                <w:sz w:val="16"/>
                <w:szCs w:val="16"/>
              </w:rPr>
              <w:t>71 [21, 121]</w:t>
            </w:r>
          </w:p>
          <w:p w:rsidR="006339CE" w:rsidRDefault="006339CE" w:rsidP="005A4CF6">
            <w:pPr>
              <w:rPr>
                <w:rFonts w:asciiTheme="minorHAnsi" w:hAnsiTheme="minorHAnsi"/>
                <w:sz w:val="16"/>
                <w:szCs w:val="16"/>
              </w:rPr>
            </w:pPr>
            <w:r>
              <w:rPr>
                <w:rFonts w:asciiTheme="minorHAnsi" w:hAnsiTheme="minorHAnsi"/>
                <w:sz w:val="16"/>
                <w:szCs w:val="16"/>
              </w:rPr>
              <w:t>173 [123, 224]</w:t>
            </w:r>
            <w:r w:rsidR="00265D83">
              <w:rPr>
                <w:rFonts w:asciiTheme="minorHAnsi" w:hAnsiTheme="minorHAnsi"/>
                <w:sz w:val="16"/>
                <w:szCs w:val="16"/>
              </w:rPr>
              <w:t>*</w:t>
            </w:r>
          </w:p>
          <w:p w:rsidR="006339CE" w:rsidRDefault="006339CE" w:rsidP="005A4CF6">
            <w:pPr>
              <w:rPr>
                <w:rFonts w:asciiTheme="minorHAnsi" w:hAnsiTheme="minorHAnsi"/>
                <w:sz w:val="16"/>
                <w:szCs w:val="16"/>
              </w:rPr>
            </w:pPr>
            <w:r>
              <w:rPr>
                <w:rFonts w:asciiTheme="minorHAnsi" w:hAnsiTheme="minorHAnsi"/>
                <w:sz w:val="16"/>
                <w:szCs w:val="16"/>
              </w:rPr>
              <w:t>90 [39, 140]</w:t>
            </w:r>
          </w:p>
          <w:p w:rsidR="006339CE" w:rsidRDefault="006339CE" w:rsidP="005A4CF6">
            <w:pPr>
              <w:rPr>
                <w:rFonts w:asciiTheme="minorHAnsi" w:hAnsiTheme="minorHAnsi"/>
                <w:sz w:val="16"/>
                <w:szCs w:val="16"/>
              </w:rPr>
            </w:pPr>
            <w:r>
              <w:rPr>
                <w:rFonts w:asciiTheme="minorHAnsi" w:hAnsiTheme="minorHAnsi"/>
                <w:sz w:val="16"/>
                <w:szCs w:val="16"/>
              </w:rPr>
              <w:t>192 [141, 243]</w:t>
            </w:r>
          </w:p>
          <w:p w:rsidR="006339CE" w:rsidRDefault="006339CE" w:rsidP="005A4CF6">
            <w:pPr>
              <w:rPr>
                <w:rFonts w:asciiTheme="minorHAnsi" w:hAnsiTheme="minorHAnsi"/>
                <w:sz w:val="16"/>
                <w:szCs w:val="16"/>
              </w:rPr>
            </w:pPr>
            <w:r>
              <w:rPr>
                <w:rFonts w:asciiTheme="minorHAnsi" w:hAnsiTheme="minorHAnsi"/>
                <w:sz w:val="16"/>
                <w:szCs w:val="16"/>
              </w:rPr>
              <w:t>103 [52, 153]</w:t>
            </w:r>
            <w:r w:rsidR="00265D83">
              <w:rPr>
                <w:rFonts w:asciiTheme="minorHAnsi" w:hAnsiTheme="minorHAnsi"/>
                <w:sz w:val="16"/>
                <w:szCs w:val="16"/>
              </w:rPr>
              <w:t>*</w:t>
            </w:r>
          </w:p>
          <w:p w:rsidR="006339CE" w:rsidRDefault="006339CE" w:rsidP="005A4CF6">
            <w:pPr>
              <w:rPr>
                <w:rFonts w:asciiTheme="minorHAnsi" w:hAnsiTheme="minorHAnsi"/>
                <w:sz w:val="16"/>
                <w:szCs w:val="16"/>
              </w:rPr>
            </w:pPr>
            <w:r>
              <w:rPr>
                <w:rFonts w:asciiTheme="minorHAnsi" w:hAnsiTheme="minorHAnsi"/>
                <w:sz w:val="16"/>
                <w:szCs w:val="16"/>
              </w:rPr>
              <w:t>53 [3, 104]</w:t>
            </w:r>
          </w:p>
        </w:tc>
        <w:tc>
          <w:tcPr>
            <w:tcW w:w="1440" w:type="dxa"/>
            <w:tcBorders>
              <w:left w:val="nil"/>
              <w:right w:val="nil"/>
            </w:tcBorders>
          </w:tcPr>
          <w:p w:rsidR="006339CE" w:rsidRDefault="006339CE" w:rsidP="005A4CF6">
            <w:pPr>
              <w:rPr>
                <w:rFonts w:asciiTheme="minorHAnsi" w:hAnsiTheme="minorHAnsi"/>
                <w:sz w:val="16"/>
                <w:szCs w:val="16"/>
              </w:rPr>
            </w:pPr>
            <w:r>
              <w:rPr>
                <w:rFonts w:asciiTheme="minorHAnsi" w:hAnsiTheme="minorHAnsi"/>
                <w:sz w:val="16"/>
                <w:szCs w:val="16"/>
              </w:rPr>
              <w:t>82 [28, 136]</w:t>
            </w:r>
          </w:p>
          <w:p w:rsidR="006339CE" w:rsidRDefault="006339CE" w:rsidP="005A4CF6">
            <w:pPr>
              <w:rPr>
                <w:rFonts w:asciiTheme="minorHAnsi" w:hAnsiTheme="minorHAnsi"/>
                <w:sz w:val="16"/>
                <w:szCs w:val="16"/>
              </w:rPr>
            </w:pPr>
            <w:r>
              <w:rPr>
                <w:rFonts w:asciiTheme="minorHAnsi" w:hAnsiTheme="minorHAnsi"/>
                <w:sz w:val="16"/>
                <w:szCs w:val="16"/>
              </w:rPr>
              <w:t>48 [-6, 102]</w:t>
            </w:r>
            <w:r w:rsidR="00F11D2A">
              <w:rPr>
                <w:rFonts w:asciiTheme="minorHAnsi" w:hAnsiTheme="minorHAnsi"/>
                <w:sz w:val="16"/>
                <w:szCs w:val="16"/>
              </w:rPr>
              <w:t xml:space="preserve">  </w:t>
            </w:r>
          </w:p>
          <w:p w:rsidR="006339CE" w:rsidRDefault="006339CE" w:rsidP="005A4CF6">
            <w:pPr>
              <w:rPr>
                <w:rFonts w:asciiTheme="minorHAnsi" w:hAnsiTheme="minorHAnsi"/>
                <w:sz w:val="16"/>
                <w:szCs w:val="16"/>
              </w:rPr>
            </w:pPr>
            <w:r>
              <w:rPr>
                <w:rFonts w:asciiTheme="minorHAnsi" w:hAnsiTheme="minorHAnsi"/>
                <w:sz w:val="16"/>
                <w:szCs w:val="16"/>
              </w:rPr>
              <w:t>115 [60, 169]</w:t>
            </w:r>
            <w:r w:rsidR="00265D83">
              <w:rPr>
                <w:rFonts w:asciiTheme="minorHAnsi" w:hAnsiTheme="minorHAnsi"/>
                <w:sz w:val="16"/>
                <w:szCs w:val="16"/>
              </w:rPr>
              <w:t>*</w:t>
            </w:r>
          </w:p>
          <w:p w:rsidR="006339CE" w:rsidRDefault="006339CE" w:rsidP="005A4CF6">
            <w:pPr>
              <w:rPr>
                <w:rFonts w:asciiTheme="minorHAnsi" w:hAnsiTheme="minorHAnsi"/>
                <w:sz w:val="16"/>
                <w:szCs w:val="16"/>
              </w:rPr>
            </w:pPr>
            <w:r>
              <w:rPr>
                <w:rFonts w:asciiTheme="minorHAnsi" w:hAnsiTheme="minorHAnsi"/>
                <w:sz w:val="16"/>
                <w:szCs w:val="16"/>
              </w:rPr>
              <w:t>62 [8, 117]</w:t>
            </w:r>
          </w:p>
          <w:p w:rsidR="006339CE" w:rsidRDefault="006339CE" w:rsidP="005A4CF6">
            <w:pPr>
              <w:rPr>
                <w:rFonts w:asciiTheme="minorHAnsi" w:hAnsiTheme="minorHAnsi"/>
                <w:sz w:val="16"/>
                <w:szCs w:val="16"/>
              </w:rPr>
            </w:pPr>
            <w:r>
              <w:rPr>
                <w:rFonts w:asciiTheme="minorHAnsi" w:hAnsiTheme="minorHAnsi"/>
                <w:sz w:val="16"/>
                <w:szCs w:val="16"/>
              </w:rPr>
              <w:t>129 [74, 184]</w:t>
            </w:r>
          </w:p>
          <w:p w:rsidR="006339CE" w:rsidRDefault="006339CE" w:rsidP="005A4CF6">
            <w:pPr>
              <w:rPr>
                <w:rFonts w:asciiTheme="minorHAnsi" w:hAnsiTheme="minorHAnsi"/>
                <w:sz w:val="16"/>
                <w:szCs w:val="16"/>
              </w:rPr>
            </w:pPr>
            <w:r>
              <w:rPr>
                <w:rFonts w:asciiTheme="minorHAnsi" w:hAnsiTheme="minorHAnsi"/>
                <w:sz w:val="16"/>
                <w:szCs w:val="16"/>
              </w:rPr>
              <w:t>67 [12, 121]</w:t>
            </w:r>
            <w:r w:rsidR="00265D83">
              <w:rPr>
                <w:rFonts w:asciiTheme="minorHAnsi" w:hAnsiTheme="minorHAnsi"/>
                <w:sz w:val="16"/>
                <w:szCs w:val="16"/>
              </w:rPr>
              <w:t>*</w:t>
            </w:r>
          </w:p>
          <w:p w:rsidR="006339CE" w:rsidRDefault="006339CE" w:rsidP="005A4CF6">
            <w:pPr>
              <w:rPr>
                <w:rFonts w:asciiTheme="minorHAnsi" w:hAnsiTheme="minorHAnsi"/>
                <w:sz w:val="16"/>
                <w:szCs w:val="16"/>
              </w:rPr>
            </w:pPr>
            <w:r>
              <w:rPr>
                <w:rFonts w:asciiTheme="minorHAnsi" w:hAnsiTheme="minorHAnsi"/>
                <w:sz w:val="16"/>
                <w:szCs w:val="16"/>
              </w:rPr>
              <w:t>33 [-22, 88]</w:t>
            </w:r>
          </w:p>
        </w:tc>
      </w:tr>
      <w:tr w:rsidR="006339CE" w:rsidRPr="009D53B8" w:rsidTr="000E452D">
        <w:tc>
          <w:tcPr>
            <w:tcW w:w="1188" w:type="dxa"/>
            <w:tcBorders>
              <w:left w:val="nil"/>
              <w:right w:val="nil"/>
            </w:tcBorders>
            <w:vAlign w:val="center"/>
          </w:tcPr>
          <w:p w:rsidR="006339CE" w:rsidRDefault="006339CE" w:rsidP="006339CE">
            <w:pPr>
              <w:rPr>
                <w:rFonts w:asciiTheme="minorHAnsi" w:hAnsiTheme="minorHAnsi"/>
                <w:sz w:val="16"/>
                <w:szCs w:val="16"/>
              </w:rPr>
            </w:pPr>
          </w:p>
          <w:p w:rsidR="006339CE" w:rsidRDefault="006339CE" w:rsidP="006339CE">
            <w:pPr>
              <w:rPr>
                <w:rFonts w:asciiTheme="minorHAnsi" w:hAnsiTheme="minorHAnsi"/>
                <w:sz w:val="16"/>
                <w:szCs w:val="16"/>
              </w:rPr>
            </w:pPr>
            <w:r>
              <w:rPr>
                <w:rFonts w:asciiTheme="minorHAnsi" w:hAnsiTheme="minorHAnsi"/>
                <w:sz w:val="16"/>
                <w:szCs w:val="16"/>
              </w:rPr>
              <w:t>Martinez</w:t>
            </w:r>
          </w:p>
          <w:p w:rsidR="006339CE" w:rsidRDefault="006339CE" w:rsidP="006339CE">
            <w:pPr>
              <w:rPr>
                <w:rFonts w:asciiTheme="minorHAnsi" w:hAnsiTheme="minorHAnsi"/>
                <w:sz w:val="16"/>
                <w:szCs w:val="16"/>
              </w:rPr>
            </w:pPr>
          </w:p>
        </w:tc>
        <w:tc>
          <w:tcPr>
            <w:tcW w:w="1152" w:type="dxa"/>
            <w:tcBorders>
              <w:left w:val="nil"/>
              <w:right w:val="nil"/>
            </w:tcBorders>
            <w:vAlign w:val="center"/>
          </w:tcPr>
          <w:p w:rsidR="006339CE" w:rsidRDefault="006339CE" w:rsidP="006339CE">
            <w:pPr>
              <w:rPr>
                <w:rFonts w:asciiTheme="minorHAnsi" w:hAnsiTheme="minorHAnsi"/>
                <w:sz w:val="16"/>
                <w:szCs w:val="16"/>
              </w:rPr>
            </w:pPr>
            <w:r>
              <w:rPr>
                <w:rFonts w:asciiTheme="minorHAnsi" w:hAnsiTheme="minorHAnsi"/>
                <w:sz w:val="16"/>
                <w:szCs w:val="16"/>
              </w:rPr>
              <w:t>6-months</w:t>
            </w:r>
          </w:p>
        </w:tc>
        <w:tc>
          <w:tcPr>
            <w:tcW w:w="2340" w:type="dxa"/>
            <w:tcBorders>
              <w:left w:val="nil"/>
              <w:right w:val="nil"/>
            </w:tcBorders>
          </w:tcPr>
          <w:p w:rsidR="006339CE" w:rsidRDefault="006339CE" w:rsidP="00C31A0F">
            <w:pPr>
              <w:rPr>
                <w:rFonts w:asciiTheme="minorHAnsi" w:hAnsiTheme="minorHAnsi"/>
                <w:sz w:val="16"/>
                <w:szCs w:val="16"/>
              </w:rPr>
            </w:pPr>
            <w:r>
              <w:rPr>
                <w:rFonts w:asciiTheme="minorHAnsi" w:hAnsiTheme="minorHAnsi"/>
                <w:sz w:val="16"/>
                <w:szCs w:val="16"/>
              </w:rPr>
              <w:t>FF/VI 100/25 vs. FF100</w:t>
            </w:r>
          </w:p>
          <w:p w:rsidR="006339CE" w:rsidRDefault="006339CE" w:rsidP="00C31A0F">
            <w:pPr>
              <w:rPr>
                <w:rFonts w:asciiTheme="minorHAnsi" w:hAnsiTheme="minorHAnsi"/>
                <w:sz w:val="16"/>
                <w:szCs w:val="16"/>
              </w:rPr>
            </w:pPr>
            <w:r>
              <w:rPr>
                <w:rFonts w:asciiTheme="minorHAnsi" w:hAnsiTheme="minorHAnsi"/>
                <w:sz w:val="16"/>
                <w:szCs w:val="16"/>
              </w:rPr>
              <w:t>FF/VI 100/25 vs.VI 25</w:t>
            </w:r>
          </w:p>
          <w:p w:rsidR="006339CE" w:rsidRDefault="006339CE" w:rsidP="00C31A0F">
            <w:pPr>
              <w:rPr>
                <w:rFonts w:asciiTheme="minorHAnsi" w:hAnsiTheme="minorHAnsi"/>
                <w:sz w:val="16"/>
                <w:szCs w:val="16"/>
              </w:rPr>
            </w:pPr>
            <w:r>
              <w:rPr>
                <w:rFonts w:asciiTheme="minorHAnsi" w:hAnsiTheme="minorHAnsi"/>
                <w:sz w:val="16"/>
                <w:szCs w:val="16"/>
              </w:rPr>
              <w:t>FF/VI 100/25 vs. PBO</w:t>
            </w:r>
          </w:p>
          <w:p w:rsidR="006339CE" w:rsidRDefault="006339CE" w:rsidP="00C31A0F">
            <w:pPr>
              <w:rPr>
                <w:rFonts w:asciiTheme="minorHAnsi" w:hAnsiTheme="minorHAnsi"/>
                <w:sz w:val="16"/>
                <w:szCs w:val="16"/>
              </w:rPr>
            </w:pPr>
            <w:r>
              <w:rPr>
                <w:rFonts w:asciiTheme="minorHAnsi" w:hAnsiTheme="minorHAnsi"/>
                <w:sz w:val="16"/>
                <w:szCs w:val="16"/>
              </w:rPr>
              <w:t>FF/VI  200/25 vs.FF200</w:t>
            </w:r>
          </w:p>
          <w:p w:rsidR="006339CE" w:rsidRDefault="006339CE" w:rsidP="00C31A0F">
            <w:pPr>
              <w:rPr>
                <w:rFonts w:asciiTheme="minorHAnsi" w:hAnsiTheme="minorHAnsi"/>
                <w:sz w:val="16"/>
                <w:szCs w:val="16"/>
              </w:rPr>
            </w:pPr>
            <w:r>
              <w:rPr>
                <w:rFonts w:asciiTheme="minorHAnsi" w:hAnsiTheme="minorHAnsi"/>
                <w:sz w:val="16"/>
                <w:szCs w:val="16"/>
              </w:rPr>
              <w:t>FF/VI 200/25  vs. VI 25</w:t>
            </w:r>
          </w:p>
          <w:p w:rsidR="006339CE" w:rsidRDefault="006339CE" w:rsidP="00C31A0F">
            <w:pPr>
              <w:rPr>
                <w:rFonts w:asciiTheme="minorHAnsi" w:hAnsiTheme="minorHAnsi"/>
                <w:sz w:val="16"/>
                <w:szCs w:val="16"/>
              </w:rPr>
            </w:pPr>
            <w:r>
              <w:rPr>
                <w:rFonts w:asciiTheme="minorHAnsi" w:hAnsiTheme="minorHAnsi"/>
                <w:sz w:val="16"/>
                <w:szCs w:val="16"/>
              </w:rPr>
              <w:t>FF/VI 200/25  vs. PBO</w:t>
            </w:r>
          </w:p>
          <w:p w:rsidR="006339CE" w:rsidRDefault="006339CE" w:rsidP="00C31A0F">
            <w:pPr>
              <w:rPr>
                <w:rFonts w:asciiTheme="minorHAnsi" w:hAnsiTheme="minorHAnsi"/>
                <w:sz w:val="16"/>
                <w:szCs w:val="16"/>
              </w:rPr>
            </w:pPr>
            <w:r>
              <w:rPr>
                <w:rFonts w:asciiTheme="minorHAnsi" w:hAnsiTheme="minorHAnsi"/>
                <w:sz w:val="16"/>
                <w:szCs w:val="16"/>
              </w:rPr>
              <w:t>VI 25 vs. PBO</w:t>
            </w:r>
          </w:p>
          <w:p w:rsidR="006339CE" w:rsidRDefault="006339CE" w:rsidP="00C31A0F">
            <w:pPr>
              <w:rPr>
                <w:rFonts w:asciiTheme="minorHAnsi" w:hAnsiTheme="minorHAnsi"/>
                <w:sz w:val="16"/>
                <w:szCs w:val="16"/>
              </w:rPr>
            </w:pPr>
            <w:r>
              <w:rPr>
                <w:rFonts w:asciiTheme="minorHAnsi" w:hAnsiTheme="minorHAnsi"/>
                <w:sz w:val="16"/>
                <w:szCs w:val="16"/>
              </w:rPr>
              <w:t>FF100 vs. PBO</w:t>
            </w:r>
          </w:p>
          <w:p w:rsidR="006339CE" w:rsidRDefault="006339CE" w:rsidP="00C31A0F">
            <w:pPr>
              <w:rPr>
                <w:rFonts w:asciiTheme="minorHAnsi" w:hAnsiTheme="minorHAnsi"/>
                <w:sz w:val="16"/>
                <w:szCs w:val="16"/>
              </w:rPr>
            </w:pPr>
            <w:r>
              <w:rPr>
                <w:rFonts w:asciiTheme="minorHAnsi" w:hAnsiTheme="minorHAnsi"/>
                <w:sz w:val="16"/>
                <w:szCs w:val="16"/>
              </w:rPr>
              <w:lastRenderedPageBreak/>
              <w:t>FF200 vs. PBO</w:t>
            </w:r>
          </w:p>
        </w:tc>
        <w:tc>
          <w:tcPr>
            <w:tcW w:w="2086" w:type="dxa"/>
            <w:tcBorders>
              <w:left w:val="nil"/>
              <w:right w:val="nil"/>
            </w:tcBorders>
          </w:tcPr>
          <w:p w:rsidR="006339CE" w:rsidRDefault="006339CE" w:rsidP="00CB47CB">
            <w:pPr>
              <w:rPr>
                <w:rFonts w:asciiTheme="minorHAnsi" w:hAnsiTheme="minorHAnsi"/>
                <w:sz w:val="16"/>
                <w:szCs w:val="16"/>
              </w:rPr>
            </w:pPr>
            <w:r>
              <w:rPr>
                <w:rFonts w:asciiTheme="minorHAnsi" w:hAnsiTheme="minorHAnsi"/>
                <w:sz w:val="16"/>
                <w:szCs w:val="16"/>
              </w:rPr>
              <w:lastRenderedPageBreak/>
              <w:t>168 [116, 220]</w:t>
            </w:r>
          </w:p>
          <w:p w:rsidR="006339CE" w:rsidRDefault="006339CE" w:rsidP="00CB47CB">
            <w:pPr>
              <w:rPr>
                <w:rFonts w:asciiTheme="minorHAnsi" w:hAnsiTheme="minorHAnsi"/>
                <w:sz w:val="16"/>
                <w:szCs w:val="16"/>
              </w:rPr>
            </w:pPr>
            <w:r>
              <w:rPr>
                <w:rFonts w:asciiTheme="minorHAnsi" w:hAnsiTheme="minorHAnsi"/>
                <w:sz w:val="16"/>
                <w:szCs w:val="16"/>
              </w:rPr>
              <w:t>29 [-23, 81]</w:t>
            </w:r>
          </w:p>
          <w:p w:rsidR="006339CE" w:rsidRDefault="006339CE" w:rsidP="00CB47CB">
            <w:pPr>
              <w:rPr>
                <w:rFonts w:asciiTheme="minorHAnsi" w:hAnsiTheme="minorHAnsi"/>
                <w:sz w:val="16"/>
                <w:szCs w:val="16"/>
              </w:rPr>
            </w:pPr>
            <w:r>
              <w:rPr>
                <w:rFonts w:asciiTheme="minorHAnsi" w:hAnsiTheme="minorHAnsi"/>
                <w:sz w:val="16"/>
                <w:szCs w:val="16"/>
              </w:rPr>
              <w:t>214 [161, 266]</w:t>
            </w:r>
          </w:p>
          <w:p w:rsidR="006339CE" w:rsidRDefault="006339CE" w:rsidP="00CB47CB">
            <w:pPr>
              <w:rPr>
                <w:rFonts w:asciiTheme="minorHAnsi" w:hAnsiTheme="minorHAnsi"/>
                <w:sz w:val="16"/>
                <w:szCs w:val="16"/>
              </w:rPr>
            </w:pPr>
            <w:r>
              <w:rPr>
                <w:rFonts w:asciiTheme="minorHAnsi" w:hAnsiTheme="minorHAnsi"/>
                <w:sz w:val="16"/>
                <w:szCs w:val="16"/>
              </w:rPr>
              <w:t>168 [117, 219]</w:t>
            </w:r>
            <w:r w:rsidR="00265D83">
              <w:rPr>
                <w:rFonts w:asciiTheme="minorHAnsi" w:hAnsiTheme="minorHAnsi"/>
                <w:sz w:val="16"/>
                <w:szCs w:val="16"/>
              </w:rPr>
              <w:t>*</w:t>
            </w:r>
          </w:p>
          <w:p w:rsidR="006339CE" w:rsidRDefault="006339CE" w:rsidP="00CB47CB">
            <w:pPr>
              <w:rPr>
                <w:rFonts w:asciiTheme="minorHAnsi" w:hAnsiTheme="minorHAnsi"/>
                <w:sz w:val="16"/>
                <w:szCs w:val="16"/>
              </w:rPr>
            </w:pPr>
            <w:r>
              <w:rPr>
                <w:rFonts w:asciiTheme="minorHAnsi" w:hAnsiTheme="minorHAnsi"/>
                <w:sz w:val="16"/>
                <w:szCs w:val="16"/>
              </w:rPr>
              <w:t>24 [-27, 75]</w:t>
            </w:r>
          </w:p>
          <w:p w:rsidR="006339CE" w:rsidRDefault="006339CE" w:rsidP="00CB47CB">
            <w:pPr>
              <w:rPr>
                <w:rFonts w:asciiTheme="minorHAnsi" w:hAnsiTheme="minorHAnsi"/>
                <w:sz w:val="16"/>
                <w:szCs w:val="16"/>
              </w:rPr>
            </w:pPr>
            <w:r>
              <w:rPr>
                <w:rFonts w:asciiTheme="minorHAnsi" w:hAnsiTheme="minorHAnsi"/>
                <w:sz w:val="16"/>
                <w:szCs w:val="16"/>
              </w:rPr>
              <w:t>209 [157, 261]</w:t>
            </w:r>
            <w:r w:rsidR="00265D83">
              <w:rPr>
                <w:rFonts w:asciiTheme="minorHAnsi" w:hAnsiTheme="minorHAnsi"/>
                <w:sz w:val="16"/>
                <w:szCs w:val="16"/>
              </w:rPr>
              <w:t>*</w:t>
            </w:r>
          </w:p>
          <w:p w:rsidR="006339CE" w:rsidRDefault="006339CE" w:rsidP="00CB47CB">
            <w:pPr>
              <w:rPr>
                <w:rFonts w:asciiTheme="minorHAnsi" w:hAnsiTheme="minorHAnsi"/>
                <w:sz w:val="16"/>
                <w:szCs w:val="16"/>
              </w:rPr>
            </w:pPr>
            <w:r>
              <w:rPr>
                <w:rFonts w:asciiTheme="minorHAnsi" w:hAnsiTheme="minorHAnsi"/>
                <w:sz w:val="16"/>
                <w:szCs w:val="16"/>
              </w:rPr>
              <w:t>185 [133, 237]</w:t>
            </w:r>
            <w:r w:rsidR="00265D83">
              <w:rPr>
                <w:rFonts w:asciiTheme="minorHAnsi" w:hAnsiTheme="minorHAnsi"/>
                <w:sz w:val="16"/>
                <w:szCs w:val="16"/>
              </w:rPr>
              <w:t>*</w:t>
            </w:r>
          </w:p>
          <w:p w:rsidR="006339CE" w:rsidRDefault="006339CE" w:rsidP="00CB47CB">
            <w:pPr>
              <w:rPr>
                <w:rFonts w:asciiTheme="minorHAnsi" w:hAnsiTheme="minorHAnsi"/>
                <w:sz w:val="16"/>
                <w:szCs w:val="16"/>
              </w:rPr>
            </w:pPr>
            <w:r>
              <w:rPr>
                <w:rFonts w:asciiTheme="minorHAnsi" w:hAnsiTheme="minorHAnsi"/>
                <w:sz w:val="16"/>
                <w:szCs w:val="16"/>
              </w:rPr>
              <w:t>46 [-6, 98]</w:t>
            </w:r>
          </w:p>
          <w:p w:rsidR="006339CE" w:rsidRDefault="006339CE" w:rsidP="00CB47CB">
            <w:pPr>
              <w:rPr>
                <w:rFonts w:asciiTheme="minorHAnsi" w:hAnsiTheme="minorHAnsi"/>
                <w:sz w:val="16"/>
                <w:szCs w:val="16"/>
              </w:rPr>
            </w:pPr>
            <w:r>
              <w:rPr>
                <w:rFonts w:asciiTheme="minorHAnsi" w:hAnsiTheme="minorHAnsi"/>
                <w:sz w:val="16"/>
                <w:szCs w:val="16"/>
              </w:rPr>
              <w:lastRenderedPageBreak/>
              <w:t>41 [-11, 93]</w:t>
            </w:r>
          </w:p>
        </w:tc>
        <w:tc>
          <w:tcPr>
            <w:tcW w:w="1440" w:type="dxa"/>
            <w:tcBorders>
              <w:left w:val="nil"/>
              <w:right w:val="nil"/>
            </w:tcBorders>
          </w:tcPr>
          <w:p w:rsidR="006339CE" w:rsidRDefault="006339CE" w:rsidP="00CB47CB">
            <w:pPr>
              <w:rPr>
                <w:rFonts w:asciiTheme="minorHAnsi" w:hAnsiTheme="minorHAnsi"/>
                <w:sz w:val="16"/>
                <w:szCs w:val="16"/>
              </w:rPr>
            </w:pPr>
            <w:r>
              <w:rPr>
                <w:rFonts w:asciiTheme="minorHAnsi" w:hAnsiTheme="minorHAnsi"/>
                <w:sz w:val="16"/>
                <w:szCs w:val="16"/>
              </w:rPr>
              <w:lastRenderedPageBreak/>
              <w:t>100 [47, 152]</w:t>
            </w:r>
          </w:p>
          <w:p w:rsidR="006339CE" w:rsidRDefault="006339CE" w:rsidP="00CB47CB">
            <w:pPr>
              <w:rPr>
                <w:rFonts w:asciiTheme="minorHAnsi" w:hAnsiTheme="minorHAnsi"/>
                <w:sz w:val="16"/>
                <w:szCs w:val="16"/>
              </w:rPr>
            </w:pPr>
            <w:r>
              <w:rPr>
                <w:rFonts w:asciiTheme="minorHAnsi" w:hAnsiTheme="minorHAnsi"/>
                <w:sz w:val="16"/>
                <w:szCs w:val="16"/>
              </w:rPr>
              <w:t>45 [8, 97]</w:t>
            </w:r>
          </w:p>
          <w:p w:rsidR="006339CE" w:rsidRDefault="006339CE" w:rsidP="00CB47CB">
            <w:pPr>
              <w:rPr>
                <w:rFonts w:asciiTheme="minorHAnsi" w:hAnsiTheme="minorHAnsi"/>
                <w:sz w:val="16"/>
                <w:szCs w:val="16"/>
              </w:rPr>
            </w:pPr>
            <w:r>
              <w:rPr>
                <w:rFonts w:asciiTheme="minorHAnsi" w:hAnsiTheme="minorHAnsi"/>
                <w:sz w:val="16"/>
                <w:szCs w:val="16"/>
              </w:rPr>
              <w:t>144 [91, 197]</w:t>
            </w:r>
          </w:p>
          <w:p w:rsidR="006339CE" w:rsidRDefault="006339CE" w:rsidP="00CB47CB">
            <w:pPr>
              <w:rPr>
                <w:rFonts w:asciiTheme="minorHAnsi" w:hAnsiTheme="minorHAnsi"/>
                <w:sz w:val="16"/>
                <w:szCs w:val="16"/>
              </w:rPr>
            </w:pPr>
            <w:r>
              <w:rPr>
                <w:rFonts w:asciiTheme="minorHAnsi" w:hAnsiTheme="minorHAnsi"/>
                <w:sz w:val="16"/>
                <w:szCs w:val="16"/>
              </w:rPr>
              <w:t>123 [72, 174]</w:t>
            </w:r>
          </w:p>
          <w:p w:rsidR="006339CE" w:rsidRDefault="006339CE" w:rsidP="00CB47CB">
            <w:pPr>
              <w:rPr>
                <w:rFonts w:asciiTheme="minorHAnsi" w:hAnsiTheme="minorHAnsi"/>
                <w:sz w:val="16"/>
                <w:szCs w:val="16"/>
              </w:rPr>
            </w:pPr>
            <w:r>
              <w:rPr>
                <w:rFonts w:asciiTheme="minorHAnsi" w:hAnsiTheme="minorHAnsi"/>
                <w:sz w:val="16"/>
                <w:szCs w:val="16"/>
              </w:rPr>
              <w:t>32 [-19, 83]</w:t>
            </w:r>
          </w:p>
          <w:p w:rsidR="006339CE" w:rsidRDefault="006339CE" w:rsidP="00CB47CB">
            <w:pPr>
              <w:rPr>
                <w:rFonts w:asciiTheme="minorHAnsi" w:hAnsiTheme="minorHAnsi"/>
                <w:sz w:val="16"/>
                <w:szCs w:val="16"/>
              </w:rPr>
            </w:pPr>
            <w:r>
              <w:rPr>
                <w:rFonts w:asciiTheme="minorHAnsi" w:hAnsiTheme="minorHAnsi"/>
                <w:sz w:val="16"/>
                <w:szCs w:val="16"/>
              </w:rPr>
              <w:t>131 [80, 183]</w:t>
            </w:r>
            <w:r w:rsidR="00265D83">
              <w:rPr>
                <w:rFonts w:asciiTheme="minorHAnsi" w:hAnsiTheme="minorHAnsi"/>
                <w:sz w:val="16"/>
                <w:szCs w:val="16"/>
              </w:rPr>
              <w:t>*</w:t>
            </w:r>
          </w:p>
          <w:p w:rsidR="006339CE" w:rsidRDefault="006339CE" w:rsidP="00CB47CB">
            <w:pPr>
              <w:rPr>
                <w:rFonts w:asciiTheme="minorHAnsi" w:hAnsiTheme="minorHAnsi"/>
                <w:sz w:val="16"/>
                <w:szCs w:val="16"/>
              </w:rPr>
            </w:pPr>
            <w:r>
              <w:rPr>
                <w:rFonts w:asciiTheme="minorHAnsi" w:hAnsiTheme="minorHAnsi"/>
                <w:sz w:val="16"/>
                <w:szCs w:val="16"/>
              </w:rPr>
              <w:t>100 [48, 151]</w:t>
            </w:r>
            <w:r w:rsidR="00265D83">
              <w:rPr>
                <w:rFonts w:asciiTheme="minorHAnsi" w:hAnsiTheme="minorHAnsi"/>
                <w:sz w:val="16"/>
                <w:szCs w:val="16"/>
              </w:rPr>
              <w:t>*</w:t>
            </w:r>
          </w:p>
          <w:p w:rsidR="006339CE" w:rsidRDefault="006339CE" w:rsidP="00CB47CB">
            <w:pPr>
              <w:rPr>
                <w:rFonts w:asciiTheme="minorHAnsi" w:hAnsiTheme="minorHAnsi"/>
                <w:sz w:val="16"/>
                <w:szCs w:val="16"/>
              </w:rPr>
            </w:pPr>
            <w:r>
              <w:rPr>
                <w:rFonts w:asciiTheme="minorHAnsi" w:hAnsiTheme="minorHAnsi"/>
                <w:sz w:val="16"/>
                <w:szCs w:val="16"/>
              </w:rPr>
              <w:t>44 [-8, 97]</w:t>
            </w:r>
          </w:p>
          <w:p w:rsidR="006339CE" w:rsidRDefault="006339CE" w:rsidP="00CB47CB">
            <w:pPr>
              <w:rPr>
                <w:rFonts w:asciiTheme="minorHAnsi" w:hAnsiTheme="minorHAnsi"/>
                <w:sz w:val="16"/>
                <w:szCs w:val="16"/>
              </w:rPr>
            </w:pPr>
            <w:r>
              <w:rPr>
                <w:rFonts w:asciiTheme="minorHAnsi" w:hAnsiTheme="minorHAnsi"/>
                <w:sz w:val="16"/>
                <w:szCs w:val="16"/>
              </w:rPr>
              <w:lastRenderedPageBreak/>
              <w:t>8 [-44, 60]</w:t>
            </w:r>
          </w:p>
        </w:tc>
      </w:tr>
      <w:tr w:rsidR="006339CE" w:rsidRPr="009D53B8" w:rsidTr="000E452D">
        <w:tc>
          <w:tcPr>
            <w:tcW w:w="1188" w:type="dxa"/>
            <w:tcBorders>
              <w:left w:val="nil"/>
              <w:right w:val="nil"/>
            </w:tcBorders>
            <w:vAlign w:val="center"/>
          </w:tcPr>
          <w:p w:rsidR="006339CE" w:rsidRDefault="006339CE" w:rsidP="006339CE">
            <w:pPr>
              <w:rPr>
                <w:rFonts w:asciiTheme="minorHAnsi" w:hAnsiTheme="minorHAnsi"/>
                <w:sz w:val="16"/>
                <w:szCs w:val="16"/>
              </w:rPr>
            </w:pPr>
          </w:p>
          <w:p w:rsidR="006339CE" w:rsidRDefault="006339CE" w:rsidP="006339CE">
            <w:pPr>
              <w:rPr>
                <w:rFonts w:asciiTheme="minorHAnsi" w:hAnsiTheme="minorHAnsi"/>
                <w:sz w:val="16"/>
                <w:szCs w:val="16"/>
              </w:rPr>
            </w:pPr>
            <w:r>
              <w:rPr>
                <w:rFonts w:asciiTheme="minorHAnsi" w:hAnsiTheme="minorHAnsi"/>
                <w:sz w:val="16"/>
                <w:szCs w:val="16"/>
              </w:rPr>
              <w:t>102970ⱡ</w:t>
            </w:r>
          </w:p>
          <w:p w:rsidR="006339CE" w:rsidRPr="000E034C" w:rsidRDefault="006339CE" w:rsidP="006339CE">
            <w:pPr>
              <w:rPr>
                <w:rFonts w:asciiTheme="minorHAnsi" w:hAnsiTheme="minorHAnsi"/>
                <w:sz w:val="16"/>
                <w:szCs w:val="16"/>
              </w:rPr>
            </w:pPr>
          </w:p>
        </w:tc>
        <w:tc>
          <w:tcPr>
            <w:tcW w:w="1152" w:type="dxa"/>
            <w:tcBorders>
              <w:left w:val="nil"/>
              <w:right w:val="nil"/>
            </w:tcBorders>
            <w:vAlign w:val="center"/>
          </w:tcPr>
          <w:p w:rsidR="006339CE" w:rsidRDefault="006339CE" w:rsidP="006339CE">
            <w:pPr>
              <w:rPr>
                <w:rFonts w:asciiTheme="minorHAnsi" w:hAnsiTheme="minorHAnsi"/>
                <w:sz w:val="16"/>
                <w:szCs w:val="16"/>
              </w:rPr>
            </w:pPr>
            <w:r>
              <w:rPr>
                <w:rFonts w:asciiTheme="minorHAnsi" w:hAnsiTheme="minorHAnsi"/>
                <w:sz w:val="16"/>
                <w:szCs w:val="16"/>
              </w:rPr>
              <w:t>1-year</w:t>
            </w:r>
          </w:p>
        </w:tc>
        <w:tc>
          <w:tcPr>
            <w:tcW w:w="2340" w:type="dxa"/>
            <w:tcBorders>
              <w:left w:val="nil"/>
              <w:right w:val="nil"/>
            </w:tcBorders>
          </w:tcPr>
          <w:p w:rsidR="006339CE" w:rsidRDefault="006339CE" w:rsidP="004F116D">
            <w:pPr>
              <w:rPr>
                <w:rFonts w:asciiTheme="minorHAnsi" w:hAnsiTheme="minorHAnsi"/>
                <w:sz w:val="16"/>
                <w:szCs w:val="16"/>
              </w:rPr>
            </w:pPr>
            <w:r>
              <w:rPr>
                <w:rFonts w:asciiTheme="minorHAnsi" w:hAnsiTheme="minorHAnsi"/>
                <w:sz w:val="16"/>
                <w:szCs w:val="16"/>
              </w:rPr>
              <w:t>FF/VI 100/25 vs.VI 25</w:t>
            </w:r>
          </w:p>
          <w:p w:rsidR="006339CE" w:rsidRDefault="006339CE" w:rsidP="004F116D">
            <w:pPr>
              <w:rPr>
                <w:rFonts w:asciiTheme="minorHAnsi" w:hAnsiTheme="minorHAnsi"/>
                <w:sz w:val="16"/>
                <w:szCs w:val="16"/>
              </w:rPr>
            </w:pPr>
            <w:r>
              <w:rPr>
                <w:rFonts w:asciiTheme="minorHAnsi" w:hAnsiTheme="minorHAnsi"/>
                <w:sz w:val="16"/>
                <w:szCs w:val="16"/>
              </w:rPr>
              <w:t>FF/VI 200/25  vs. VI 25</w:t>
            </w:r>
          </w:p>
          <w:p w:rsidR="006339CE" w:rsidRDefault="006339CE" w:rsidP="004F116D">
            <w:pPr>
              <w:rPr>
                <w:rFonts w:asciiTheme="minorHAnsi" w:hAnsiTheme="minorHAnsi"/>
                <w:sz w:val="16"/>
                <w:szCs w:val="16"/>
              </w:rPr>
            </w:pPr>
            <w:r>
              <w:rPr>
                <w:rFonts w:asciiTheme="minorHAnsi" w:hAnsiTheme="minorHAnsi"/>
                <w:sz w:val="16"/>
                <w:szCs w:val="16"/>
              </w:rPr>
              <w:t>FF/VI 50/25 vs.VI 25</w:t>
            </w:r>
          </w:p>
        </w:tc>
        <w:tc>
          <w:tcPr>
            <w:tcW w:w="2086" w:type="dxa"/>
            <w:tcBorders>
              <w:left w:val="nil"/>
              <w:right w:val="nil"/>
            </w:tcBorders>
            <w:vAlign w:val="center"/>
          </w:tcPr>
          <w:p w:rsidR="006339CE" w:rsidRDefault="006339CE" w:rsidP="00265B4A">
            <w:pPr>
              <w:rPr>
                <w:rFonts w:asciiTheme="minorHAnsi" w:hAnsiTheme="minorHAnsi"/>
                <w:sz w:val="16"/>
                <w:szCs w:val="16"/>
              </w:rPr>
            </w:pPr>
            <w:r>
              <w:rPr>
                <w:rFonts w:asciiTheme="minorHAnsi" w:hAnsiTheme="minorHAnsi"/>
                <w:sz w:val="16"/>
                <w:szCs w:val="16"/>
              </w:rPr>
              <w:t>Not evaluated</w:t>
            </w:r>
          </w:p>
        </w:tc>
        <w:tc>
          <w:tcPr>
            <w:tcW w:w="1440" w:type="dxa"/>
            <w:tcBorders>
              <w:left w:val="nil"/>
              <w:right w:val="nil"/>
            </w:tcBorders>
          </w:tcPr>
          <w:p w:rsidR="006339CE" w:rsidRDefault="006339CE" w:rsidP="00CB47CB">
            <w:pPr>
              <w:rPr>
                <w:rFonts w:asciiTheme="minorHAnsi" w:hAnsiTheme="minorHAnsi"/>
                <w:sz w:val="16"/>
                <w:szCs w:val="16"/>
              </w:rPr>
            </w:pPr>
            <w:r>
              <w:rPr>
                <w:rFonts w:asciiTheme="minorHAnsi" w:hAnsiTheme="minorHAnsi"/>
                <w:sz w:val="16"/>
                <w:szCs w:val="16"/>
              </w:rPr>
              <w:t>25 [CI crossed 0]</w:t>
            </w:r>
          </w:p>
          <w:p w:rsidR="006339CE" w:rsidRDefault="006339CE" w:rsidP="00CB47CB">
            <w:pPr>
              <w:rPr>
                <w:rFonts w:asciiTheme="minorHAnsi" w:hAnsiTheme="minorHAnsi"/>
                <w:sz w:val="16"/>
                <w:szCs w:val="16"/>
              </w:rPr>
            </w:pPr>
            <w:r>
              <w:rPr>
                <w:rFonts w:asciiTheme="minorHAnsi" w:hAnsiTheme="minorHAnsi"/>
                <w:sz w:val="16"/>
                <w:szCs w:val="16"/>
              </w:rPr>
              <w:t>25 [CI crossed 0]</w:t>
            </w:r>
          </w:p>
          <w:p w:rsidR="006339CE" w:rsidRDefault="006339CE" w:rsidP="00CB47CB">
            <w:pPr>
              <w:rPr>
                <w:rFonts w:asciiTheme="minorHAnsi" w:hAnsiTheme="minorHAnsi"/>
                <w:sz w:val="16"/>
                <w:szCs w:val="16"/>
              </w:rPr>
            </w:pPr>
            <w:r>
              <w:rPr>
                <w:rFonts w:asciiTheme="minorHAnsi" w:hAnsiTheme="minorHAnsi"/>
                <w:sz w:val="16"/>
                <w:szCs w:val="16"/>
              </w:rPr>
              <w:t>30</w:t>
            </w:r>
          </w:p>
        </w:tc>
      </w:tr>
      <w:tr w:rsidR="006339CE" w:rsidRPr="009D53B8" w:rsidTr="000E452D">
        <w:tc>
          <w:tcPr>
            <w:tcW w:w="1188" w:type="dxa"/>
            <w:tcBorders>
              <w:left w:val="nil"/>
              <w:right w:val="nil"/>
            </w:tcBorders>
            <w:vAlign w:val="center"/>
          </w:tcPr>
          <w:p w:rsidR="006339CE" w:rsidRDefault="006339CE" w:rsidP="006339CE">
            <w:pPr>
              <w:rPr>
                <w:rFonts w:asciiTheme="minorHAnsi" w:hAnsiTheme="minorHAnsi"/>
                <w:sz w:val="16"/>
                <w:szCs w:val="16"/>
              </w:rPr>
            </w:pPr>
          </w:p>
          <w:p w:rsidR="006339CE" w:rsidRDefault="006339CE" w:rsidP="006339CE">
            <w:pPr>
              <w:rPr>
                <w:rFonts w:asciiTheme="minorHAnsi" w:hAnsiTheme="minorHAnsi"/>
                <w:sz w:val="16"/>
                <w:szCs w:val="16"/>
              </w:rPr>
            </w:pPr>
            <w:r>
              <w:rPr>
                <w:rFonts w:asciiTheme="minorHAnsi" w:hAnsiTheme="minorHAnsi"/>
                <w:sz w:val="16"/>
                <w:szCs w:val="16"/>
              </w:rPr>
              <w:t>102871ⱡ</w:t>
            </w:r>
          </w:p>
          <w:p w:rsidR="006339CE" w:rsidRDefault="006339CE" w:rsidP="006339CE">
            <w:pPr>
              <w:rPr>
                <w:rFonts w:asciiTheme="minorHAnsi" w:hAnsiTheme="minorHAnsi"/>
                <w:sz w:val="16"/>
                <w:szCs w:val="16"/>
              </w:rPr>
            </w:pPr>
          </w:p>
        </w:tc>
        <w:tc>
          <w:tcPr>
            <w:tcW w:w="1152" w:type="dxa"/>
            <w:tcBorders>
              <w:left w:val="nil"/>
              <w:right w:val="nil"/>
            </w:tcBorders>
            <w:vAlign w:val="center"/>
          </w:tcPr>
          <w:p w:rsidR="006339CE" w:rsidRDefault="006339CE" w:rsidP="006339CE">
            <w:pPr>
              <w:rPr>
                <w:rFonts w:asciiTheme="minorHAnsi" w:hAnsiTheme="minorHAnsi"/>
                <w:sz w:val="16"/>
                <w:szCs w:val="16"/>
              </w:rPr>
            </w:pPr>
            <w:r>
              <w:rPr>
                <w:rFonts w:asciiTheme="minorHAnsi" w:hAnsiTheme="minorHAnsi"/>
                <w:sz w:val="16"/>
                <w:szCs w:val="16"/>
              </w:rPr>
              <w:t>1-year</w:t>
            </w:r>
          </w:p>
        </w:tc>
        <w:tc>
          <w:tcPr>
            <w:tcW w:w="2340" w:type="dxa"/>
            <w:tcBorders>
              <w:left w:val="nil"/>
              <w:right w:val="nil"/>
            </w:tcBorders>
          </w:tcPr>
          <w:p w:rsidR="006339CE" w:rsidRDefault="006339CE" w:rsidP="004F116D">
            <w:pPr>
              <w:rPr>
                <w:rFonts w:asciiTheme="minorHAnsi" w:hAnsiTheme="minorHAnsi"/>
                <w:sz w:val="16"/>
                <w:szCs w:val="16"/>
              </w:rPr>
            </w:pPr>
            <w:r>
              <w:rPr>
                <w:rFonts w:asciiTheme="minorHAnsi" w:hAnsiTheme="minorHAnsi"/>
                <w:sz w:val="16"/>
                <w:szCs w:val="16"/>
              </w:rPr>
              <w:t>FF/VI 100/25 vs.VI 25</w:t>
            </w:r>
          </w:p>
          <w:p w:rsidR="006339CE" w:rsidRDefault="006339CE" w:rsidP="004F116D">
            <w:pPr>
              <w:rPr>
                <w:rFonts w:asciiTheme="minorHAnsi" w:hAnsiTheme="minorHAnsi"/>
                <w:sz w:val="16"/>
                <w:szCs w:val="16"/>
              </w:rPr>
            </w:pPr>
            <w:r>
              <w:rPr>
                <w:rFonts w:asciiTheme="minorHAnsi" w:hAnsiTheme="minorHAnsi"/>
                <w:sz w:val="16"/>
                <w:szCs w:val="16"/>
              </w:rPr>
              <w:t>FF/VI 200/25  vs. VI 25</w:t>
            </w:r>
          </w:p>
          <w:p w:rsidR="006339CE" w:rsidRDefault="006339CE" w:rsidP="004F116D">
            <w:pPr>
              <w:rPr>
                <w:rFonts w:asciiTheme="minorHAnsi" w:hAnsiTheme="minorHAnsi"/>
                <w:sz w:val="16"/>
                <w:szCs w:val="16"/>
              </w:rPr>
            </w:pPr>
            <w:r>
              <w:rPr>
                <w:rFonts w:asciiTheme="minorHAnsi" w:hAnsiTheme="minorHAnsi"/>
                <w:sz w:val="16"/>
                <w:szCs w:val="16"/>
              </w:rPr>
              <w:t>FF/VI 50/25 vs.VI 25</w:t>
            </w:r>
          </w:p>
        </w:tc>
        <w:tc>
          <w:tcPr>
            <w:tcW w:w="2086" w:type="dxa"/>
            <w:tcBorders>
              <w:left w:val="nil"/>
              <w:right w:val="nil"/>
            </w:tcBorders>
            <w:vAlign w:val="center"/>
          </w:tcPr>
          <w:p w:rsidR="006339CE" w:rsidRDefault="006339CE" w:rsidP="00265B4A">
            <w:pPr>
              <w:rPr>
                <w:rFonts w:asciiTheme="minorHAnsi" w:hAnsiTheme="minorHAnsi"/>
                <w:sz w:val="16"/>
                <w:szCs w:val="16"/>
              </w:rPr>
            </w:pPr>
            <w:r>
              <w:rPr>
                <w:rFonts w:asciiTheme="minorHAnsi" w:hAnsiTheme="minorHAnsi"/>
                <w:sz w:val="16"/>
                <w:szCs w:val="16"/>
              </w:rPr>
              <w:t>Not evaluated</w:t>
            </w:r>
          </w:p>
        </w:tc>
        <w:tc>
          <w:tcPr>
            <w:tcW w:w="1440" w:type="dxa"/>
            <w:tcBorders>
              <w:left w:val="nil"/>
              <w:right w:val="nil"/>
            </w:tcBorders>
          </w:tcPr>
          <w:p w:rsidR="006339CE" w:rsidRDefault="006339CE" w:rsidP="00CB47CB">
            <w:pPr>
              <w:rPr>
                <w:rFonts w:asciiTheme="minorHAnsi" w:hAnsiTheme="minorHAnsi"/>
                <w:sz w:val="16"/>
                <w:szCs w:val="16"/>
              </w:rPr>
            </w:pPr>
            <w:r>
              <w:rPr>
                <w:rFonts w:asciiTheme="minorHAnsi" w:hAnsiTheme="minorHAnsi"/>
                <w:sz w:val="16"/>
                <w:szCs w:val="16"/>
              </w:rPr>
              <w:t>55</w:t>
            </w:r>
          </w:p>
          <w:p w:rsidR="006339CE" w:rsidRDefault="006339CE" w:rsidP="00CB47CB">
            <w:pPr>
              <w:rPr>
                <w:rFonts w:asciiTheme="minorHAnsi" w:hAnsiTheme="minorHAnsi"/>
                <w:sz w:val="16"/>
                <w:szCs w:val="16"/>
              </w:rPr>
            </w:pPr>
            <w:r>
              <w:rPr>
                <w:rFonts w:asciiTheme="minorHAnsi" w:hAnsiTheme="minorHAnsi"/>
                <w:sz w:val="16"/>
                <w:szCs w:val="16"/>
              </w:rPr>
              <w:t>65</w:t>
            </w:r>
          </w:p>
          <w:p w:rsidR="006339CE" w:rsidRDefault="006339CE" w:rsidP="00CB47CB">
            <w:pPr>
              <w:rPr>
                <w:rFonts w:asciiTheme="minorHAnsi" w:hAnsiTheme="minorHAnsi"/>
                <w:sz w:val="16"/>
                <w:szCs w:val="16"/>
              </w:rPr>
            </w:pPr>
            <w:r>
              <w:rPr>
                <w:rFonts w:asciiTheme="minorHAnsi" w:hAnsiTheme="minorHAnsi"/>
                <w:sz w:val="16"/>
                <w:szCs w:val="16"/>
              </w:rPr>
              <w:t>45</w:t>
            </w:r>
          </w:p>
        </w:tc>
      </w:tr>
      <w:tr w:rsidR="007B1EC1" w:rsidRPr="009D53B8" w:rsidTr="00AF7248">
        <w:tc>
          <w:tcPr>
            <w:tcW w:w="1188" w:type="dxa"/>
            <w:tcBorders>
              <w:left w:val="nil"/>
              <w:right w:val="nil"/>
            </w:tcBorders>
            <w:shd w:val="clear" w:color="auto" w:fill="D9D9D9" w:themeFill="background1" w:themeFillShade="D9"/>
            <w:vAlign w:val="center"/>
          </w:tcPr>
          <w:p w:rsidR="007B1EC1" w:rsidRDefault="007B1EC1" w:rsidP="00AF7248">
            <w:pPr>
              <w:rPr>
                <w:rFonts w:asciiTheme="minorHAnsi" w:hAnsiTheme="minorHAnsi"/>
                <w:b/>
                <w:sz w:val="16"/>
                <w:szCs w:val="16"/>
              </w:rPr>
            </w:pPr>
            <w:r>
              <w:rPr>
                <w:rFonts w:asciiTheme="minorHAnsi" w:hAnsiTheme="minorHAnsi"/>
                <w:b/>
                <w:sz w:val="16"/>
                <w:szCs w:val="16"/>
              </w:rPr>
              <w:t>Study</w:t>
            </w:r>
          </w:p>
        </w:tc>
        <w:tc>
          <w:tcPr>
            <w:tcW w:w="1152" w:type="dxa"/>
            <w:tcBorders>
              <w:left w:val="nil"/>
              <w:right w:val="nil"/>
            </w:tcBorders>
            <w:shd w:val="clear" w:color="auto" w:fill="D9D9D9" w:themeFill="background1" w:themeFillShade="D9"/>
            <w:vAlign w:val="center"/>
          </w:tcPr>
          <w:p w:rsidR="007B1EC1" w:rsidRDefault="007B1EC1" w:rsidP="00AF7248">
            <w:pPr>
              <w:rPr>
                <w:rFonts w:asciiTheme="minorHAnsi" w:hAnsiTheme="minorHAnsi"/>
                <w:b/>
                <w:sz w:val="16"/>
                <w:szCs w:val="16"/>
              </w:rPr>
            </w:pPr>
            <w:r>
              <w:rPr>
                <w:rFonts w:asciiTheme="minorHAnsi" w:hAnsiTheme="minorHAnsi"/>
                <w:b/>
                <w:sz w:val="16"/>
                <w:szCs w:val="16"/>
              </w:rPr>
              <w:t>Duration</w:t>
            </w:r>
          </w:p>
        </w:tc>
        <w:tc>
          <w:tcPr>
            <w:tcW w:w="2340" w:type="dxa"/>
            <w:tcBorders>
              <w:left w:val="nil"/>
              <w:right w:val="nil"/>
            </w:tcBorders>
            <w:shd w:val="clear" w:color="auto" w:fill="D9D9D9" w:themeFill="background1" w:themeFillShade="D9"/>
            <w:vAlign w:val="center"/>
          </w:tcPr>
          <w:p w:rsidR="007B1EC1" w:rsidRDefault="007B1EC1" w:rsidP="00AF7248">
            <w:pPr>
              <w:rPr>
                <w:rFonts w:asciiTheme="minorHAnsi" w:hAnsiTheme="minorHAnsi"/>
                <w:b/>
                <w:sz w:val="16"/>
                <w:szCs w:val="16"/>
              </w:rPr>
            </w:pPr>
            <w:r>
              <w:rPr>
                <w:rFonts w:asciiTheme="minorHAnsi" w:hAnsiTheme="minorHAnsi"/>
                <w:b/>
                <w:sz w:val="16"/>
                <w:szCs w:val="16"/>
              </w:rPr>
              <w:t>Comparisons</w:t>
            </w:r>
          </w:p>
        </w:tc>
        <w:tc>
          <w:tcPr>
            <w:tcW w:w="3526" w:type="dxa"/>
            <w:gridSpan w:val="2"/>
            <w:tcBorders>
              <w:left w:val="nil"/>
              <w:right w:val="nil"/>
            </w:tcBorders>
            <w:shd w:val="clear" w:color="auto" w:fill="D9D9D9" w:themeFill="background1" w:themeFillShade="D9"/>
          </w:tcPr>
          <w:p w:rsidR="007B1EC1" w:rsidRDefault="007B1EC1" w:rsidP="007B1EC1">
            <w:pPr>
              <w:jc w:val="center"/>
              <w:rPr>
                <w:rFonts w:asciiTheme="minorHAnsi" w:hAnsiTheme="minorHAnsi"/>
                <w:b/>
                <w:sz w:val="16"/>
                <w:szCs w:val="16"/>
              </w:rPr>
            </w:pPr>
            <w:r>
              <w:rPr>
                <w:rFonts w:asciiTheme="minorHAnsi" w:hAnsiTheme="minorHAnsi"/>
                <w:b/>
                <w:sz w:val="16"/>
                <w:szCs w:val="16"/>
              </w:rPr>
              <w:t>FEV1 (0-24h) Treatment Diff  [95%CI]</w:t>
            </w:r>
          </w:p>
        </w:tc>
      </w:tr>
      <w:tr w:rsidR="007B1EC1" w:rsidRPr="009D53B8" w:rsidTr="00AF7248">
        <w:tc>
          <w:tcPr>
            <w:tcW w:w="1188" w:type="dxa"/>
            <w:tcBorders>
              <w:left w:val="nil"/>
              <w:right w:val="nil"/>
            </w:tcBorders>
          </w:tcPr>
          <w:p w:rsidR="007B1EC1" w:rsidRDefault="00A839C9" w:rsidP="00AF7248">
            <w:pPr>
              <w:rPr>
                <w:rFonts w:asciiTheme="minorHAnsi" w:hAnsiTheme="minorHAnsi"/>
                <w:sz w:val="16"/>
                <w:szCs w:val="16"/>
              </w:rPr>
            </w:pPr>
            <w:proofErr w:type="spellStart"/>
            <w:r>
              <w:rPr>
                <w:rFonts w:asciiTheme="minorHAnsi" w:hAnsiTheme="minorHAnsi"/>
                <w:sz w:val="16"/>
                <w:szCs w:val="16"/>
              </w:rPr>
              <w:t>Agusti</w:t>
            </w:r>
            <w:proofErr w:type="spellEnd"/>
          </w:p>
        </w:tc>
        <w:tc>
          <w:tcPr>
            <w:tcW w:w="1152" w:type="dxa"/>
            <w:tcBorders>
              <w:left w:val="nil"/>
              <w:right w:val="nil"/>
            </w:tcBorders>
          </w:tcPr>
          <w:p w:rsidR="007B1EC1" w:rsidRDefault="007B1EC1" w:rsidP="00AF7248">
            <w:pPr>
              <w:rPr>
                <w:rFonts w:asciiTheme="minorHAnsi" w:hAnsiTheme="minorHAnsi"/>
                <w:sz w:val="16"/>
                <w:szCs w:val="16"/>
              </w:rPr>
            </w:pPr>
            <w:r>
              <w:rPr>
                <w:rFonts w:asciiTheme="minorHAnsi" w:hAnsiTheme="minorHAnsi"/>
                <w:sz w:val="16"/>
                <w:szCs w:val="16"/>
              </w:rPr>
              <w:t>3-month</w:t>
            </w:r>
          </w:p>
        </w:tc>
        <w:tc>
          <w:tcPr>
            <w:tcW w:w="2340" w:type="dxa"/>
            <w:tcBorders>
              <w:left w:val="nil"/>
              <w:right w:val="nil"/>
            </w:tcBorders>
          </w:tcPr>
          <w:p w:rsidR="007B1EC1" w:rsidRDefault="007B1EC1" w:rsidP="00AF7248">
            <w:pPr>
              <w:rPr>
                <w:rFonts w:asciiTheme="minorHAnsi" w:hAnsiTheme="minorHAnsi"/>
                <w:sz w:val="16"/>
                <w:szCs w:val="16"/>
              </w:rPr>
            </w:pPr>
            <w:r>
              <w:rPr>
                <w:rFonts w:asciiTheme="minorHAnsi" w:hAnsiTheme="minorHAnsi"/>
                <w:sz w:val="16"/>
                <w:szCs w:val="16"/>
              </w:rPr>
              <w:t>FF/VI 100/25 vs. FP/SAL 500/50</w:t>
            </w:r>
          </w:p>
        </w:tc>
        <w:tc>
          <w:tcPr>
            <w:tcW w:w="3526" w:type="dxa"/>
            <w:gridSpan w:val="2"/>
            <w:tcBorders>
              <w:left w:val="nil"/>
              <w:right w:val="nil"/>
            </w:tcBorders>
          </w:tcPr>
          <w:p w:rsidR="007B1EC1" w:rsidRDefault="007B1EC1" w:rsidP="007B1EC1">
            <w:pPr>
              <w:jc w:val="center"/>
              <w:rPr>
                <w:rFonts w:asciiTheme="minorHAnsi" w:hAnsiTheme="minorHAnsi"/>
                <w:sz w:val="16"/>
                <w:szCs w:val="16"/>
              </w:rPr>
            </w:pPr>
            <w:r>
              <w:rPr>
                <w:rFonts w:asciiTheme="minorHAnsi" w:hAnsiTheme="minorHAnsi"/>
                <w:sz w:val="16"/>
                <w:szCs w:val="16"/>
              </w:rPr>
              <w:t>22 [-18, 63]</w:t>
            </w:r>
          </w:p>
        </w:tc>
      </w:tr>
      <w:tr w:rsidR="007B1EC1" w:rsidRPr="009D53B8" w:rsidTr="00AF7248">
        <w:tc>
          <w:tcPr>
            <w:tcW w:w="1188" w:type="dxa"/>
            <w:tcBorders>
              <w:left w:val="nil"/>
              <w:right w:val="nil"/>
            </w:tcBorders>
          </w:tcPr>
          <w:p w:rsidR="007B1EC1" w:rsidRDefault="007B1EC1" w:rsidP="00AF7248">
            <w:pPr>
              <w:rPr>
                <w:rFonts w:asciiTheme="minorHAnsi" w:hAnsiTheme="minorHAnsi"/>
                <w:sz w:val="16"/>
                <w:szCs w:val="16"/>
              </w:rPr>
            </w:pPr>
            <w:r>
              <w:rPr>
                <w:rFonts w:asciiTheme="minorHAnsi" w:hAnsiTheme="minorHAnsi"/>
                <w:sz w:val="16"/>
                <w:szCs w:val="16"/>
              </w:rPr>
              <w:t>Study 113109</w:t>
            </w:r>
          </w:p>
        </w:tc>
        <w:tc>
          <w:tcPr>
            <w:tcW w:w="1152" w:type="dxa"/>
            <w:tcBorders>
              <w:left w:val="nil"/>
              <w:right w:val="nil"/>
            </w:tcBorders>
          </w:tcPr>
          <w:p w:rsidR="007B1EC1" w:rsidRDefault="007B1EC1" w:rsidP="00AF7248">
            <w:pPr>
              <w:rPr>
                <w:rFonts w:asciiTheme="minorHAnsi" w:hAnsiTheme="minorHAnsi"/>
                <w:sz w:val="16"/>
                <w:szCs w:val="16"/>
              </w:rPr>
            </w:pPr>
            <w:r>
              <w:rPr>
                <w:rFonts w:asciiTheme="minorHAnsi" w:hAnsiTheme="minorHAnsi"/>
                <w:sz w:val="16"/>
                <w:szCs w:val="16"/>
              </w:rPr>
              <w:t>3-month</w:t>
            </w:r>
          </w:p>
        </w:tc>
        <w:tc>
          <w:tcPr>
            <w:tcW w:w="2340" w:type="dxa"/>
            <w:tcBorders>
              <w:left w:val="nil"/>
              <w:right w:val="nil"/>
            </w:tcBorders>
          </w:tcPr>
          <w:p w:rsidR="007B1EC1" w:rsidRDefault="007B1EC1" w:rsidP="00AF7248">
            <w:pPr>
              <w:rPr>
                <w:rFonts w:asciiTheme="minorHAnsi" w:hAnsiTheme="minorHAnsi"/>
                <w:sz w:val="16"/>
                <w:szCs w:val="16"/>
              </w:rPr>
            </w:pPr>
            <w:r>
              <w:rPr>
                <w:rFonts w:asciiTheme="minorHAnsi" w:hAnsiTheme="minorHAnsi"/>
                <w:sz w:val="16"/>
                <w:szCs w:val="16"/>
              </w:rPr>
              <w:t>FF/VI 100/25 vs. FP/SAL 250/50</w:t>
            </w:r>
          </w:p>
        </w:tc>
        <w:tc>
          <w:tcPr>
            <w:tcW w:w="3526" w:type="dxa"/>
            <w:gridSpan w:val="2"/>
            <w:tcBorders>
              <w:left w:val="nil"/>
              <w:right w:val="nil"/>
            </w:tcBorders>
          </w:tcPr>
          <w:p w:rsidR="007B1EC1" w:rsidRDefault="007B1EC1" w:rsidP="007B1EC1">
            <w:pPr>
              <w:jc w:val="center"/>
              <w:rPr>
                <w:rFonts w:asciiTheme="minorHAnsi" w:hAnsiTheme="minorHAnsi"/>
                <w:sz w:val="16"/>
                <w:szCs w:val="16"/>
              </w:rPr>
            </w:pPr>
            <w:r>
              <w:rPr>
                <w:rFonts w:asciiTheme="minorHAnsi" w:hAnsiTheme="minorHAnsi"/>
                <w:sz w:val="16"/>
                <w:szCs w:val="16"/>
              </w:rPr>
              <w:t>29 [-22, 80]</w:t>
            </w:r>
          </w:p>
        </w:tc>
      </w:tr>
      <w:tr w:rsidR="007B1EC1" w:rsidRPr="009D53B8" w:rsidTr="00AF7248">
        <w:tc>
          <w:tcPr>
            <w:tcW w:w="1188" w:type="dxa"/>
            <w:tcBorders>
              <w:left w:val="nil"/>
              <w:right w:val="nil"/>
            </w:tcBorders>
            <w:vAlign w:val="center"/>
          </w:tcPr>
          <w:p w:rsidR="007B1EC1" w:rsidRDefault="007B1EC1" w:rsidP="00AF7248">
            <w:pPr>
              <w:rPr>
                <w:rFonts w:asciiTheme="minorHAnsi" w:hAnsiTheme="minorHAnsi"/>
                <w:sz w:val="16"/>
                <w:szCs w:val="16"/>
              </w:rPr>
            </w:pPr>
            <w:r>
              <w:rPr>
                <w:rFonts w:asciiTheme="minorHAnsi" w:hAnsiTheme="minorHAnsi"/>
                <w:sz w:val="16"/>
                <w:szCs w:val="16"/>
              </w:rPr>
              <w:t>Study 112352</w:t>
            </w:r>
          </w:p>
        </w:tc>
        <w:tc>
          <w:tcPr>
            <w:tcW w:w="1152" w:type="dxa"/>
            <w:tcBorders>
              <w:left w:val="nil"/>
              <w:right w:val="nil"/>
            </w:tcBorders>
            <w:vAlign w:val="center"/>
          </w:tcPr>
          <w:p w:rsidR="007B1EC1" w:rsidRDefault="007B1EC1" w:rsidP="00AF7248">
            <w:pPr>
              <w:rPr>
                <w:rFonts w:asciiTheme="minorHAnsi" w:hAnsiTheme="minorHAnsi"/>
                <w:sz w:val="16"/>
                <w:szCs w:val="16"/>
              </w:rPr>
            </w:pPr>
            <w:r>
              <w:rPr>
                <w:rFonts w:asciiTheme="minorHAnsi" w:hAnsiTheme="minorHAnsi"/>
                <w:sz w:val="16"/>
                <w:szCs w:val="16"/>
              </w:rPr>
              <w:t>3-month</w:t>
            </w:r>
          </w:p>
        </w:tc>
        <w:tc>
          <w:tcPr>
            <w:tcW w:w="2340" w:type="dxa"/>
            <w:tcBorders>
              <w:left w:val="nil"/>
              <w:right w:val="nil"/>
            </w:tcBorders>
          </w:tcPr>
          <w:p w:rsidR="007B1EC1" w:rsidRDefault="007B1EC1" w:rsidP="00AF7248">
            <w:pPr>
              <w:rPr>
                <w:rFonts w:asciiTheme="minorHAnsi" w:hAnsiTheme="minorHAnsi"/>
                <w:sz w:val="16"/>
                <w:szCs w:val="16"/>
              </w:rPr>
            </w:pPr>
            <w:r>
              <w:rPr>
                <w:rFonts w:asciiTheme="minorHAnsi" w:hAnsiTheme="minorHAnsi"/>
                <w:sz w:val="16"/>
                <w:szCs w:val="16"/>
              </w:rPr>
              <w:t>FF/VI 100/25 vs. FP/SAL 250/50</w:t>
            </w:r>
          </w:p>
        </w:tc>
        <w:tc>
          <w:tcPr>
            <w:tcW w:w="3526" w:type="dxa"/>
            <w:gridSpan w:val="2"/>
            <w:tcBorders>
              <w:left w:val="nil"/>
              <w:right w:val="nil"/>
            </w:tcBorders>
          </w:tcPr>
          <w:p w:rsidR="007B1EC1" w:rsidRDefault="007B1EC1" w:rsidP="007B1EC1">
            <w:pPr>
              <w:jc w:val="center"/>
              <w:rPr>
                <w:rFonts w:asciiTheme="minorHAnsi" w:hAnsiTheme="minorHAnsi"/>
                <w:sz w:val="16"/>
                <w:szCs w:val="16"/>
              </w:rPr>
            </w:pPr>
            <w:r>
              <w:rPr>
                <w:rFonts w:asciiTheme="minorHAnsi" w:hAnsiTheme="minorHAnsi"/>
                <w:sz w:val="16"/>
                <w:szCs w:val="16"/>
              </w:rPr>
              <w:t>80 [37, 124]*</w:t>
            </w:r>
          </w:p>
        </w:tc>
      </w:tr>
    </w:tbl>
    <w:p w:rsidR="00AB0168" w:rsidRDefault="00CB47CB" w:rsidP="00172BE6">
      <w:pPr>
        <w:ind w:left="-15" w:right="-990"/>
        <w:rPr>
          <w:rFonts w:asciiTheme="minorHAnsi" w:hAnsiTheme="minorHAnsi"/>
          <w:sz w:val="16"/>
          <w:szCs w:val="16"/>
        </w:rPr>
      </w:pPr>
      <w:r>
        <w:rPr>
          <w:rFonts w:asciiTheme="minorHAnsi" w:hAnsiTheme="minorHAnsi"/>
          <w:sz w:val="16"/>
          <w:szCs w:val="16"/>
        </w:rPr>
        <w:t xml:space="preserve">Abbreviations: </w:t>
      </w:r>
      <w:r w:rsidR="00172BE6">
        <w:rPr>
          <w:rFonts w:asciiTheme="minorHAnsi" w:hAnsiTheme="minorHAnsi"/>
          <w:sz w:val="16"/>
          <w:szCs w:val="16"/>
        </w:rPr>
        <w:t>CI=confidence interval; FEV1=forced expiratory volume in 1 second; FF=fluticasone furoate; FF/VI=fluticasone furoate/vilanterol; FP/SAL=fluticasone propionate/salmeterol; PBO=placebo; VI=</w:t>
      </w:r>
      <w:r w:rsidR="002C6678">
        <w:rPr>
          <w:rFonts w:asciiTheme="minorHAnsi" w:hAnsiTheme="minorHAnsi"/>
          <w:sz w:val="16"/>
          <w:szCs w:val="16"/>
        </w:rPr>
        <w:t>vilanterol</w:t>
      </w:r>
    </w:p>
    <w:p w:rsidR="00695039" w:rsidRDefault="00701E96" w:rsidP="00695039">
      <w:pPr>
        <w:ind w:left="-270" w:right="-990"/>
        <w:rPr>
          <w:rFonts w:asciiTheme="minorHAnsi" w:hAnsiTheme="minorHAnsi"/>
          <w:sz w:val="16"/>
          <w:szCs w:val="16"/>
        </w:rPr>
      </w:pPr>
      <w:r>
        <w:rPr>
          <w:rFonts w:asciiTheme="minorHAnsi" w:hAnsiTheme="minorHAnsi"/>
          <w:sz w:val="16"/>
          <w:szCs w:val="16"/>
        </w:rPr>
        <w:t xml:space="preserve">       </w:t>
      </w:r>
      <w:r w:rsidR="00BD08B1">
        <w:rPr>
          <w:rFonts w:asciiTheme="minorHAnsi" w:hAnsiTheme="minorHAnsi"/>
          <w:sz w:val="16"/>
          <w:szCs w:val="16"/>
        </w:rPr>
        <w:t xml:space="preserve">ⱡ Results for the 1-year studies were estimated from </w:t>
      </w:r>
      <w:r w:rsidR="00FD4F27">
        <w:rPr>
          <w:rFonts w:asciiTheme="minorHAnsi" w:hAnsiTheme="minorHAnsi"/>
          <w:sz w:val="16"/>
          <w:szCs w:val="16"/>
        </w:rPr>
        <w:t>Forest</w:t>
      </w:r>
      <w:r w:rsidR="00265B4A" w:rsidRPr="00FD4F27">
        <w:rPr>
          <w:rFonts w:asciiTheme="minorHAnsi" w:hAnsiTheme="minorHAnsi"/>
          <w:sz w:val="16"/>
          <w:szCs w:val="16"/>
        </w:rPr>
        <w:t xml:space="preserve"> plot</w:t>
      </w:r>
      <w:r w:rsidR="00695039">
        <w:rPr>
          <w:rFonts w:asciiTheme="minorHAnsi" w:hAnsiTheme="minorHAnsi"/>
          <w:sz w:val="16"/>
          <w:szCs w:val="16"/>
        </w:rPr>
        <w:t xml:space="preserve"> </w:t>
      </w:r>
    </w:p>
    <w:p w:rsidR="007B1EC1" w:rsidRDefault="007B1EC1" w:rsidP="00695039">
      <w:pPr>
        <w:ind w:right="-990"/>
        <w:rPr>
          <w:rFonts w:asciiTheme="minorHAnsi" w:hAnsiTheme="minorHAnsi"/>
          <w:sz w:val="16"/>
          <w:szCs w:val="16"/>
        </w:rPr>
      </w:pPr>
      <w:r>
        <w:rPr>
          <w:rFonts w:asciiTheme="minorHAnsi" w:hAnsiTheme="minorHAnsi"/>
          <w:sz w:val="16"/>
          <w:szCs w:val="16"/>
        </w:rPr>
        <w:t xml:space="preserve"> *Significant difference</w:t>
      </w:r>
      <w:r w:rsidR="00695039">
        <w:rPr>
          <w:rFonts w:asciiTheme="minorHAnsi" w:hAnsiTheme="minorHAnsi"/>
          <w:sz w:val="16"/>
          <w:szCs w:val="16"/>
        </w:rPr>
        <w:t xml:space="preserve"> (in </w:t>
      </w:r>
      <w:proofErr w:type="spellStart"/>
      <w:r w:rsidR="00695039">
        <w:rPr>
          <w:rFonts w:asciiTheme="minorHAnsi" w:hAnsiTheme="minorHAnsi"/>
          <w:sz w:val="16"/>
          <w:szCs w:val="16"/>
        </w:rPr>
        <w:t>Kerwin</w:t>
      </w:r>
      <w:proofErr w:type="spellEnd"/>
      <w:r w:rsidR="00695039">
        <w:rPr>
          <w:rFonts w:asciiTheme="minorHAnsi" w:hAnsiTheme="minorHAnsi"/>
          <w:sz w:val="16"/>
          <w:szCs w:val="16"/>
        </w:rPr>
        <w:t xml:space="preserve"> statistical comparisons were conducted for FF/VI 100/25 and in Martinez for FF/VI 200/25 versus their individual components and placebo)</w:t>
      </w:r>
    </w:p>
    <w:p w:rsidR="00F523C7" w:rsidRDefault="00F523C7" w:rsidP="00AB7BBB">
      <w:pPr>
        <w:ind w:left="-270" w:right="-990"/>
        <w:rPr>
          <w:rFonts w:asciiTheme="minorHAnsi" w:hAnsiTheme="minorHAnsi"/>
          <w:sz w:val="16"/>
          <w:szCs w:val="16"/>
        </w:rPr>
      </w:pPr>
    </w:p>
    <w:p w:rsidR="00C84D10" w:rsidRPr="00B8048A" w:rsidRDefault="00C84D10">
      <w:pPr>
        <w:rPr>
          <w:i/>
          <w:sz w:val="20"/>
          <w:szCs w:val="20"/>
          <w:u w:val="single"/>
        </w:rPr>
      </w:pPr>
      <w:r w:rsidRPr="00B8048A">
        <w:rPr>
          <w:i/>
          <w:sz w:val="20"/>
          <w:szCs w:val="20"/>
          <w:u w:val="single"/>
        </w:rPr>
        <w:t>Dyspnea</w:t>
      </w:r>
    </w:p>
    <w:p w:rsidR="00B8048A" w:rsidRPr="00B8048A" w:rsidRDefault="00B22FBD">
      <w:pPr>
        <w:rPr>
          <w:sz w:val="20"/>
          <w:szCs w:val="20"/>
        </w:rPr>
      </w:pPr>
      <w:r>
        <w:rPr>
          <w:sz w:val="20"/>
          <w:szCs w:val="20"/>
        </w:rPr>
        <w:t xml:space="preserve">The </w:t>
      </w:r>
      <w:r w:rsidR="00306D95">
        <w:rPr>
          <w:sz w:val="20"/>
          <w:szCs w:val="20"/>
        </w:rPr>
        <w:t xml:space="preserve">Chronic Respiratory Questionnaire Self-Administered Standardized (CRQ-SAS) dyspnea </w:t>
      </w:r>
      <w:r>
        <w:rPr>
          <w:sz w:val="20"/>
          <w:szCs w:val="20"/>
        </w:rPr>
        <w:t>domain was a secondary endpoint</w:t>
      </w:r>
      <w:r w:rsidR="006C0B8F">
        <w:rPr>
          <w:sz w:val="20"/>
          <w:szCs w:val="20"/>
        </w:rPr>
        <w:t xml:space="preserve"> in the 6-month trials</w:t>
      </w:r>
      <w:r>
        <w:rPr>
          <w:sz w:val="20"/>
          <w:szCs w:val="20"/>
        </w:rPr>
        <w:t>.  The minimal clinically important difference is considered to be 0.5 units.  None of the comparisons achieved this difference.</w:t>
      </w:r>
    </w:p>
    <w:p w:rsidR="00B8048A" w:rsidRPr="00B8048A" w:rsidRDefault="00B8048A">
      <w:pPr>
        <w:rPr>
          <w:sz w:val="20"/>
          <w:szCs w:val="20"/>
        </w:rPr>
      </w:pPr>
    </w:p>
    <w:p w:rsidR="00B8048A" w:rsidRPr="0084598E" w:rsidRDefault="00B04CFE" w:rsidP="00C84D10">
      <w:pPr>
        <w:rPr>
          <w:i/>
          <w:sz w:val="20"/>
          <w:szCs w:val="20"/>
          <w:u w:val="single"/>
        </w:rPr>
      </w:pPr>
      <w:r w:rsidRPr="0084598E">
        <w:rPr>
          <w:i/>
          <w:sz w:val="20"/>
          <w:szCs w:val="20"/>
          <w:u w:val="single"/>
        </w:rPr>
        <w:t>Symptomatic endpoints assessed by diary card</w:t>
      </w:r>
    </w:p>
    <w:p w:rsidR="00B04CFE" w:rsidRDefault="00695039" w:rsidP="00C84D10">
      <w:pPr>
        <w:rPr>
          <w:sz w:val="20"/>
          <w:szCs w:val="20"/>
        </w:rPr>
      </w:pPr>
      <w:r>
        <w:rPr>
          <w:sz w:val="20"/>
          <w:szCs w:val="20"/>
        </w:rPr>
        <w:t>C</w:t>
      </w:r>
      <w:r w:rsidR="0084598E">
        <w:rPr>
          <w:sz w:val="20"/>
          <w:szCs w:val="20"/>
        </w:rPr>
        <w:t>hanges in symptomatic endpoints for the marketed dose FF/VI 100/25 versus the individual components</w:t>
      </w:r>
      <w:r>
        <w:rPr>
          <w:sz w:val="20"/>
          <w:szCs w:val="20"/>
        </w:rPr>
        <w:t xml:space="preserve"> are shown in </w:t>
      </w:r>
      <w:r w:rsidRPr="00695039">
        <w:rPr>
          <w:b/>
          <w:sz w:val="20"/>
          <w:szCs w:val="20"/>
          <w:u w:val="single"/>
        </w:rPr>
        <w:t>Table 4</w:t>
      </w:r>
      <w:r w:rsidR="0084598E">
        <w:rPr>
          <w:sz w:val="20"/>
          <w:szCs w:val="20"/>
        </w:rPr>
        <w:t>.  For the differences, 95% confidence intervals were calculated (asterisked results indicate comparisons where the 95% confidence excluded zero)</w:t>
      </w:r>
      <w:r w:rsidR="00731B78">
        <w:rPr>
          <w:sz w:val="20"/>
          <w:szCs w:val="20"/>
        </w:rPr>
        <w:t xml:space="preserve">.  Compared to placebo, greater improvements (CI excludes zero) were observed for FF/VI 100/25.  Improvement </w:t>
      </w:r>
      <w:r w:rsidR="00844105">
        <w:rPr>
          <w:sz w:val="20"/>
          <w:szCs w:val="20"/>
        </w:rPr>
        <w:t xml:space="preserve">varied </w:t>
      </w:r>
      <w:r w:rsidR="006C0B8F">
        <w:rPr>
          <w:sz w:val="20"/>
          <w:szCs w:val="20"/>
        </w:rPr>
        <w:t xml:space="preserve">when FF/VI was compared to the </w:t>
      </w:r>
      <w:r w:rsidR="00731B78">
        <w:rPr>
          <w:sz w:val="20"/>
          <w:szCs w:val="20"/>
        </w:rPr>
        <w:t>individual components.</w:t>
      </w:r>
    </w:p>
    <w:p w:rsidR="00A3326B" w:rsidRDefault="00A3326B" w:rsidP="00C84D10">
      <w:pPr>
        <w:rPr>
          <w:sz w:val="20"/>
          <w:szCs w:val="20"/>
        </w:rPr>
      </w:pPr>
    </w:p>
    <w:p w:rsidR="00731B78" w:rsidRPr="00731B78" w:rsidRDefault="00731B78" w:rsidP="00C84D10">
      <w:pPr>
        <w:rPr>
          <w:rFonts w:asciiTheme="minorHAnsi" w:hAnsiTheme="minorHAnsi"/>
          <w:b/>
          <w:sz w:val="20"/>
          <w:szCs w:val="20"/>
        </w:rPr>
      </w:pPr>
      <w:r w:rsidRPr="00731B78">
        <w:rPr>
          <w:rFonts w:asciiTheme="minorHAnsi" w:hAnsiTheme="minorHAnsi"/>
          <w:b/>
          <w:sz w:val="20"/>
          <w:szCs w:val="20"/>
        </w:rPr>
        <w:t>Table</w:t>
      </w:r>
      <w:r w:rsidR="00970B3D">
        <w:rPr>
          <w:rFonts w:asciiTheme="minorHAnsi" w:hAnsiTheme="minorHAnsi"/>
          <w:b/>
          <w:sz w:val="20"/>
          <w:szCs w:val="20"/>
        </w:rPr>
        <w:t xml:space="preserve"> 4</w:t>
      </w:r>
      <w:r>
        <w:rPr>
          <w:rFonts w:asciiTheme="minorHAnsi" w:hAnsiTheme="minorHAnsi"/>
          <w:b/>
          <w:sz w:val="20"/>
          <w:szCs w:val="20"/>
        </w:rPr>
        <w:t>:</w:t>
      </w:r>
      <w:r w:rsidR="00970B3D">
        <w:rPr>
          <w:rFonts w:asciiTheme="minorHAnsi" w:hAnsiTheme="minorHAnsi"/>
          <w:b/>
          <w:sz w:val="20"/>
          <w:szCs w:val="20"/>
        </w:rPr>
        <w:t xml:space="preserve"> Symptomatic Endpoints in 6-Month Trials</w:t>
      </w:r>
    </w:p>
    <w:tbl>
      <w:tblPr>
        <w:tblStyle w:val="TableGrid"/>
        <w:tblW w:w="0" w:type="auto"/>
        <w:tblLayout w:type="fixed"/>
        <w:tblLook w:val="04A0" w:firstRow="1" w:lastRow="0" w:firstColumn="1" w:lastColumn="0" w:noHBand="0" w:noVBand="1"/>
      </w:tblPr>
      <w:tblGrid>
        <w:gridCol w:w="918"/>
        <w:gridCol w:w="1800"/>
        <w:gridCol w:w="979"/>
        <w:gridCol w:w="980"/>
        <w:gridCol w:w="980"/>
        <w:gridCol w:w="841"/>
        <w:gridCol w:w="1260"/>
        <w:gridCol w:w="990"/>
        <w:gridCol w:w="828"/>
      </w:tblGrid>
      <w:tr w:rsidR="001575E0" w:rsidRPr="00B04CFE" w:rsidTr="00731B78">
        <w:tc>
          <w:tcPr>
            <w:tcW w:w="918" w:type="dxa"/>
            <w:tcBorders>
              <w:left w:val="nil"/>
              <w:right w:val="nil"/>
            </w:tcBorders>
            <w:shd w:val="clear" w:color="auto" w:fill="D9D9D9" w:themeFill="background1" w:themeFillShade="D9"/>
          </w:tcPr>
          <w:p w:rsidR="00A3326B" w:rsidRPr="00B04CFE" w:rsidRDefault="00A3326B" w:rsidP="00C84D10">
            <w:pPr>
              <w:rPr>
                <w:rFonts w:asciiTheme="minorHAnsi" w:hAnsiTheme="minorHAnsi"/>
                <w:sz w:val="16"/>
                <w:szCs w:val="16"/>
              </w:rPr>
            </w:pPr>
          </w:p>
        </w:tc>
        <w:tc>
          <w:tcPr>
            <w:tcW w:w="1800" w:type="dxa"/>
            <w:tcBorders>
              <w:left w:val="nil"/>
              <w:right w:val="nil"/>
            </w:tcBorders>
            <w:shd w:val="clear" w:color="auto" w:fill="D9D9D9" w:themeFill="background1" w:themeFillShade="D9"/>
            <w:vAlign w:val="center"/>
          </w:tcPr>
          <w:p w:rsidR="00A3326B" w:rsidRPr="001575E0" w:rsidRDefault="001575E0" w:rsidP="001575E0">
            <w:pPr>
              <w:rPr>
                <w:rFonts w:asciiTheme="minorHAnsi" w:hAnsiTheme="minorHAnsi"/>
                <w:b/>
                <w:sz w:val="16"/>
                <w:szCs w:val="16"/>
              </w:rPr>
            </w:pPr>
            <w:r w:rsidRPr="001575E0">
              <w:rPr>
                <w:rFonts w:asciiTheme="minorHAnsi" w:hAnsiTheme="minorHAnsi"/>
                <w:b/>
                <w:sz w:val="16"/>
                <w:szCs w:val="16"/>
              </w:rPr>
              <w:t>Comparisons</w:t>
            </w:r>
          </w:p>
        </w:tc>
        <w:tc>
          <w:tcPr>
            <w:tcW w:w="979" w:type="dxa"/>
            <w:tcBorders>
              <w:left w:val="nil"/>
              <w:right w:val="nil"/>
            </w:tcBorders>
            <w:shd w:val="clear" w:color="auto" w:fill="D9D9D9" w:themeFill="background1" w:themeFillShade="D9"/>
            <w:vAlign w:val="center"/>
          </w:tcPr>
          <w:p w:rsidR="00A3326B" w:rsidRPr="001575E0" w:rsidRDefault="00A3326B" w:rsidP="001575E0">
            <w:pPr>
              <w:rPr>
                <w:rFonts w:asciiTheme="minorHAnsi" w:hAnsiTheme="minorHAnsi"/>
                <w:b/>
                <w:sz w:val="16"/>
                <w:szCs w:val="16"/>
              </w:rPr>
            </w:pPr>
            <w:r w:rsidRPr="001575E0">
              <w:rPr>
                <w:rFonts w:asciiTheme="minorHAnsi" w:hAnsiTheme="minorHAnsi"/>
                <w:b/>
                <w:sz w:val="16"/>
                <w:szCs w:val="16"/>
              </w:rPr>
              <w:t>Cough</w:t>
            </w:r>
          </w:p>
        </w:tc>
        <w:tc>
          <w:tcPr>
            <w:tcW w:w="980" w:type="dxa"/>
            <w:tcBorders>
              <w:left w:val="nil"/>
              <w:right w:val="nil"/>
            </w:tcBorders>
            <w:shd w:val="clear" w:color="auto" w:fill="D9D9D9" w:themeFill="background1" w:themeFillShade="D9"/>
            <w:vAlign w:val="center"/>
          </w:tcPr>
          <w:p w:rsidR="00A3326B" w:rsidRPr="001575E0" w:rsidRDefault="00A3326B" w:rsidP="001575E0">
            <w:pPr>
              <w:rPr>
                <w:rFonts w:asciiTheme="minorHAnsi" w:hAnsiTheme="minorHAnsi"/>
                <w:b/>
                <w:sz w:val="16"/>
                <w:szCs w:val="16"/>
              </w:rPr>
            </w:pPr>
            <w:r w:rsidRPr="001575E0">
              <w:rPr>
                <w:rFonts w:asciiTheme="minorHAnsi" w:hAnsiTheme="minorHAnsi"/>
                <w:b/>
                <w:sz w:val="16"/>
                <w:szCs w:val="16"/>
              </w:rPr>
              <w:t>Sputum</w:t>
            </w:r>
          </w:p>
        </w:tc>
        <w:tc>
          <w:tcPr>
            <w:tcW w:w="980" w:type="dxa"/>
            <w:tcBorders>
              <w:left w:val="nil"/>
              <w:right w:val="nil"/>
            </w:tcBorders>
            <w:shd w:val="clear" w:color="auto" w:fill="D9D9D9" w:themeFill="background1" w:themeFillShade="D9"/>
            <w:vAlign w:val="center"/>
          </w:tcPr>
          <w:p w:rsidR="00A3326B" w:rsidRPr="001575E0" w:rsidRDefault="00A3326B" w:rsidP="001575E0">
            <w:pPr>
              <w:rPr>
                <w:rFonts w:asciiTheme="minorHAnsi" w:hAnsiTheme="minorHAnsi"/>
                <w:b/>
                <w:sz w:val="16"/>
                <w:szCs w:val="16"/>
              </w:rPr>
            </w:pPr>
            <w:r w:rsidRPr="001575E0">
              <w:rPr>
                <w:rFonts w:asciiTheme="minorHAnsi" w:hAnsiTheme="minorHAnsi"/>
                <w:b/>
                <w:sz w:val="16"/>
                <w:szCs w:val="16"/>
              </w:rPr>
              <w:t>Breathless</w:t>
            </w:r>
            <w:r w:rsidR="001575E0" w:rsidRPr="001575E0">
              <w:rPr>
                <w:rFonts w:asciiTheme="minorHAnsi" w:hAnsiTheme="minorHAnsi"/>
                <w:b/>
                <w:sz w:val="16"/>
                <w:szCs w:val="16"/>
              </w:rPr>
              <w:t>-</w:t>
            </w:r>
            <w:r w:rsidRPr="001575E0">
              <w:rPr>
                <w:rFonts w:asciiTheme="minorHAnsi" w:hAnsiTheme="minorHAnsi"/>
                <w:b/>
                <w:sz w:val="16"/>
                <w:szCs w:val="16"/>
              </w:rPr>
              <w:t>ness</w:t>
            </w:r>
          </w:p>
        </w:tc>
        <w:tc>
          <w:tcPr>
            <w:tcW w:w="841" w:type="dxa"/>
            <w:tcBorders>
              <w:left w:val="nil"/>
              <w:right w:val="nil"/>
            </w:tcBorders>
            <w:shd w:val="clear" w:color="auto" w:fill="D9D9D9" w:themeFill="background1" w:themeFillShade="D9"/>
            <w:vAlign w:val="center"/>
          </w:tcPr>
          <w:p w:rsidR="00A3326B" w:rsidRPr="001575E0" w:rsidRDefault="00A3326B" w:rsidP="001575E0">
            <w:pPr>
              <w:rPr>
                <w:rFonts w:asciiTheme="minorHAnsi" w:hAnsiTheme="minorHAnsi"/>
                <w:b/>
                <w:sz w:val="16"/>
                <w:szCs w:val="16"/>
              </w:rPr>
            </w:pPr>
            <w:r w:rsidRPr="001575E0">
              <w:rPr>
                <w:rFonts w:asciiTheme="minorHAnsi" w:hAnsiTheme="minorHAnsi"/>
                <w:b/>
                <w:sz w:val="16"/>
                <w:szCs w:val="16"/>
              </w:rPr>
              <w:t>Rescue use</w:t>
            </w:r>
          </w:p>
        </w:tc>
        <w:tc>
          <w:tcPr>
            <w:tcW w:w="1260" w:type="dxa"/>
            <w:tcBorders>
              <w:left w:val="nil"/>
              <w:right w:val="nil"/>
            </w:tcBorders>
            <w:shd w:val="clear" w:color="auto" w:fill="D9D9D9" w:themeFill="background1" w:themeFillShade="D9"/>
          </w:tcPr>
          <w:p w:rsidR="00A3326B" w:rsidRPr="001575E0" w:rsidRDefault="00A3326B" w:rsidP="00C84D10">
            <w:pPr>
              <w:rPr>
                <w:rFonts w:asciiTheme="minorHAnsi" w:hAnsiTheme="minorHAnsi"/>
                <w:b/>
                <w:sz w:val="16"/>
                <w:szCs w:val="16"/>
              </w:rPr>
            </w:pPr>
            <w:r w:rsidRPr="001575E0">
              <w:rPr>
                <w:rFonts w:asciiTheme="minorHAnsi" w:hAnsiTheme="minorHAnsi"/>
                <w:b/>
                <w:sz w:val="16"/>
                <w:szCs w:val="16"/>
              </w:rPr>
              <w:t>Nighttime awakenings req. rescue use</w:t>
            </w:r>
          </w:p>
        </w:tc>
        <w:tc>
          <w:tcPr>
            <w:tcW w:w="990" w:type="dxa"/>
            <w:tcBorders>
              <w:left w:val="nil"/>
              <w:right w:val="nil"/>
            </w:tcBorders>
            <w:shd w:val="clear" w:color="auto" w:fill="D9D9D9" w:themeFill="background1" w:themeFillShade="D9"/>
          </w:tcPr>
          <w:p w:rsidR="00A3326B" w:rsidRPr="001575E0" w:rsidRDefault="00A3326B" w:rsidP="00C84D10">
            <w:pPr>
              <w:rPr>
                <w:rFonts w:asciiTheme="minorHAnsi" w:hAnsiTheme="minorHAnsi"/>
                <w:b/>
                <w:sz w:val="16"/>
                <w:szCs w:val="16"/>
              </w:rPr>
            </w:pPr>
            <w:r w:rsidRPr="001575E0">
              <w:rPr>
                <w:rFonts w:asciiTheme="minorHAnsi" w:hAnsiTheme="minorHAnsi"/>
                <w:b/>
                <w:sz w:val="16"/>
                <w:szCs w:val="16"/>
              </w:rPr>
              <w:t>Rescue-free 24h periods</w:t>
            </w:r>
          </w:p>
        </w:tc>
        <w:tc>
          <w:tcPr>
            <w:tcW w:w="828" w:type="dxa"/>
            <w:tcBorders>
              <w:left w:val="nil"/>
              <w:right w:val="nil"/>
            </w:tcBorders>
            <w:shd w:val="clear" w:color="auto" w:fill="D9D9D9" w:themeFill="background1" w:themeFillShade="D9"/>
            <w:vAlign w:val="center"/>
          </w:tcPr>
          <w:p w:rsidR="00A3326B" w:rsidRPr="001575E0" w:rsidRDefault="00A3326B" w:rsidP="001575E0">
            <w:pPr>
              <w:rPr>
                <w:rFonts w:asciiTheme="minorHAnsi" w:hAnsiTheme="minorHAnsi"/>
                <w:b/>
                <w:sz w:val="16"/>
                <w:szCs w:val="16"/>
              </w:rPr>
            </w:pPr>
            <w:r w:rsidRPr="001575E0">
              <w:rPr>
                <w:rFonts w:asciiTheme="minorHAnsi" w:hAnsiTheme="minorHAnsi"/>
                <w:b/>
                <w:sz w:val="16"/>
                <w:szCs w:val="16"/>
              </w:rPr>
              <w:t>AM PEF</w:t>
            </w:r>
          </w:p>
          <w:p w:rsidR="0092475A" w:rsidRPr="001575E0" w:rsidRDefault="0092475A" w:rsidP="001575E0">
            <w:pPr>
              <w:rPr>
                <w:rFonts w:asciiTheme="minorHAnsi" w:hAnsiTheme="minorHAnsi"/>
                <w:b/>
                <w:sz w:val="16"/>
                <w:szCs w:val="16"/>
              </w:rPr>
            </w:pPr>
            <w:r w:rsidRPr="001575E0">
              <w:rPr>
                <w:rFonts w:asciiTheme="minorHAnsi" w:hAnsiTheme="minorHAnsi"/>
                <w:b/>
                <w:sz w:val="16"/>
                <w:szCs w:val="16"/>
              </w:rPr>
              <w:t>(L/min)</w:t>
            </w:r>
          </w:p>
        </w:tc>
      </w:tr>
      <w:tr w:rsidR="001575E0" w:rsidRPr="00B04CFE" w:rsidTr="00731B78">
        <w:tc>
          <w:tcPr>
            <w:tcW w:w="918" w:type="dxa"/>
            <w:tcBorders>
              <w:left w:val="nil"/>
              <w:right w:val="nil"/>
            </w:tcBorders>
          </w:tcPr>
          <w:p w:rsidR="00A3326B" w:rsidRPr="00B04CFE" w:rsidRDefault="00A3326B" w:rsidP="00C84D10">
            <w:pPr>
              <w:rPr>
                <w:rFonts w:asciiTheme="minorHAnsi" w:hAnsiTheme="minorHAnsi"/>
                <w:sz w:val="16"/>
                <w:szCs w:val="16"/>
              </w:rPr>
            </w:pPr>
            <w:proofErr w:type="spellStart"/>
            <w:r>
              <w:rPr>
                <w:rFonts w:asciiTheme="minorHAnsi" w:hAnsiTheme="minorHAnsi"/>
                <w:sz w:val="16"/>
                <w:szCs w:val="16"/>
              </w:rPr>
              <w:t>Kerwin</w:t>
            </w:r>
            <w:proofErr w:type="spellEnd"/>
          </w:p>
        </w:tc>
        <w:tc>
          <w:tcPr>
            <w:tcW w:w="1800" w:type="dxa"/>
            <w:tcBorders>
              <w:left w:val="nil"/>
              <w:right w:val="nil"/>
            </w:tcBorders>
          </w:tcPr>
          <w:p w:rsidR="0092475A" w:rsidRDefault="0092475A" w:rsidP="0092475A">
            <w:pPr>
              <w:rPr>
                <w:rFonts w:asciiTheme="minorHAnsi" w:hAnsiTheme="minorHAnsi"/>
                <w:sz w:val="16"/>
                <w:szCs w:val="16"/>
              </w:rPr>
            </w:pPr>
            <w:r>
              <w:rPr>
                <w:rFonts w:asciiTheme="minorHAnsi" w:hAnsiTheme="minorHAnsi"/>
                <w:sz w:val="16"/>
                <w:szCs w:val="16"/>
              </w:rPr>
              <w:t>FF/VI 100/25 vs. PBO</w:t>
            </w:r>
          </w:p>
          <w:p w:rsidR="0092475A" w:rsidRDefault="0092475A" w:rsidP="0092475A">
            <w:pPr>
              <w:rPr>
                <w:rFonts w:asciiTheme="minorHAnsi" w:hAnsiTheme="minorHAnsi"/>
                <w:sz w:val="16"/>
                <w:szCs w:val="16"/>
              </w:rPr>
            </w:pPr>
            <w:r>
              <w:rPr>
                <w:rFonts w:asciiTheme="minorHAnsi" w:hAnsiTheme="minorHAnsi"/>
                <w:sz w:val="16"/>
                <w:szCs w:val="16"/>
              </w:rPr>
              <w:t>FF/VI 100/25 vs. VI</w:t>
            </w:r>
          </w:p>
          <w:p w:rsidR="00A3326B" w:rsidRPr="00B04CFE" w:rsidRDefault="0092475A" w:rsidP="0092475A">
            <w:pPr>
              <w:rPr>
                <w:rFonts w:asciiTheme="minorHAnsi" w:hAnsiTheme="minorHAnsi"/>
                <w:sz w:val="16"/>
                <w:szCs w:val="16"/>
              </w:rPr>
            </w:pPr>
            <w:r>
              <w:rPr>
                <w:rFonts w:asciiTheme="minorHAnsi" w:hAnsiTheme="minorHAnsi"/>
                <w:sz w:val="16"/>
                <w:szCs w:val="16"/>
              </w:rPr>
              <w:t>FF/VI 100/25 vs. FF 100</w:t>
            </w:r>
          </w:p>
        </w:tc>
        <w:tc>
          <w:tcPr>
            <w:tcW w:w="979" w:type="dxa"/>
            <w:tcBorders>
              <w:left w:val="nil"/>
              <w:right w:val="nil"/>
            </w:tcBorders>
          </w:tcPr>
          <w:p w:rsidR="00F302A6" w:rsidRDefault="001575E0" w:rsidP="00C84D10">
            <w:pPr>
              <w:rPr>
                <w:rFonts w:asciiTheme="minorHAnsi" w:hAnsiTheme="minorHAnsi"/>
                <w:sz w:val="16"/>
                <w:szCs w:val="16"/>
              </w:rPr>
            </w:pPr>
            <w:r w:rsidRPr="001575E0">
              <w:rPr>
                <w:rFonts w:asciiTheme="minorHAnsi" w:hAnsiTheme="minorHAnsi"/>
                <w:sz w:val="16"/>
                <w:szCs w:val="16"/>
              </w:rPr>
              <w:t>-0.20*</w:t>
            </w:r>
          </w:p>
          <w:p w:rsidR="001575E0" w:rsidRDefault="001575E0" w:rsidP="00C84D10">
            <w:pPr>
              <w:rPr>
                <w:rFonts w:asciiTheme="minorHAnsi" w:hAnsiTheme="minorHAnsi"/>
                <w:sz w:val="16"/>
                <w:szCs w:val="16"/>
              </w:rPr>
            </w:pPr>
            <w:r>
              <w:rPr>
                <w:rFonts w:asciiTheme="minorHAnsi" w:hAnsiTheme="minorHAnsi"/>
                <w:sz w:val="16"/>
                <w:szCs w:val="16"/>
              </w:rPr>
              <w:t>-0.07</w:t>
            </w:r>
          </w:p>
          <w:p w:rsidR="001575E0" w:rsidRPr="001575E0" w:rsidRDefault="001575E0" w:rsidP="00C84D10">
            <w:pPr>
              <w:rPr>
                <w:rFonts w:asciiTheme="minorHAnsi" w:hAnsiTheme="minorHAnsi"/>
                <w:sz w:val="16"/>
                <w:szCs w:val="16"/>
              </w:rPr>
            </w:pPr>
            <w:r>
              <w:rPr>
                <w:rFonts w:asciiTheme="minorHAnsi" w:hAnsiTheme="minorHAnsi"/>
                <w:sz w:val="16"/>
                <w:szCs w:val="16"/>
              </w:rPr>
              <w:t>-0.11*</w:t>
            </w:r>
          </w:p>
        </w:tc>
        <w:tc>
          <w:tcPr>
            <w:tcW w:w="980" w:type="dxa"/>
            <w:tcBorders>
              <w:left w:val="nil"/>
              <w:right w:val="nil"/>
            </w:tcBorders>
          </w:tcPr>
          <w:p w:rsidR="00A3326B" w:rsidRDefault="001575E0" w:rsidP="00C84D10">
            <w:pPr>
              <w:rPr>
                <w:rFonts w:asciiTheme="minorHAnsi" w:hAnsiTheme="minorHAnsi"/>
                <w:sz w:val="16"/>
                <w:szCs w:val="16"/>
              </w:rPr>
            </w:pPr>
            <w:r>
              <w:rPr>
                <w:rFonts w:asciiTheme="minorHAnsi" w:hAnsiTheme="minorHAnsi"/>
                <w:sz w:val="16"/>
                <w:szCs w:val="16"/>
              </w:rPr>
              <w:t>-0.11*</w:t>
            </w:r>
          </w:p>
          <w:p w:rsidR="001575E0" w:rsidRDefault="001575E0" w:rsidP="00C84D10">
            <w:pPr>
              <w:rPr>
                <w:rFonts w:asciiTheme="minorHAnsi" w:hAnsiTheme="minorHAnsi"/>
                <w:sz w:val="16"/>
                <w:szCs w:val="16"/>
              </w:rPr>
            </w:pPr>
            <w:r>
              <w:rPr>
                <w:rFonts w:asciiTheme="minorHAnsi" w:hAnsiTheme="minorHAnsi"/>
                <w:sz w:val="16"/>
                <w:szCs w:val="16"/>
              </w:rPr>
              <w:t>-0.06</w:t>
            </w:r>
          </w:p>
          <w:p w:rsidR="001575E0" w:rsidRPr="001575E0" w:rsidRDefault="001575E0" w:rsidP="00C84D10">
            <w:pPr>
              <w:rPr>
                <w:rFonts w:asciiTheme="minorHAnsi" w:hAnsiTheme="minorHAnsi"/>
                <w:sz w:val="16"/>
                <w:szCs w:val="16"/>
              </w:rPr>
            </w:pPr>
            <w:r>
              <w:rPr>
                <w:rFonts w:asciiTheme="minorHAnsi" w:hAnsiTheme="minorHAnsi"/>
                <w:sz w:val="16"/>
                <w:szCs w:val="16"/>
              </w:rPr>
              <w:t>-0.04</w:t>
            </w:r>
          </w:p>
        </w:tc>
        <w:tc>
          <w:tcPr>
            <w:tcW w:w="980" w:type="dxa"/>
            <w:tcBorders>
              <w:left w:val="nil"/>
              <w:right w:val="nil"/>
            </w:tcBorders>
          </w:tcPr>
          <w:p w:rsidR="00A3326B" w:rsidRDefault="001575E0" w:rsidP="00C84D10">
            <w:pPr>
              <w:rPr>
                <w:rFonts w:asciiTheme="minorHAnsi" w:hAnsiTheme="minorHAnsi"/>
                <w:sz w:val="16"/>
                <w:szCs w:val="16"/>
              </w:rPr>
            </w:pPr>
            <w:r>
              <w:rPr>
                <w:rFonts w:asciiTheme="minorHAnsi" w:hAnsiTheme="minorHAnsi"/>
                <w:sz w:val="16"/>
                <w:szCs w:val="16"/>
              </w:rPr>
              <w:t>-0.31*</w:t>
            </w:r>
          </w:p>
          <w:p w:rsidR="001575E0" w:rsidRDefault="001575E0" w:rsidP="00C84D10">
            <w:pPr>
              <w:rPr>
                <w:rFonts w:asciiTheme="minorHAnsi" w:hAnsiTheme="minorHAnsi"/>
                <w:sz w:val="16"/>
                <w:szCs w:val="16"/>
              </w:rPr>
            </w:pPr>
            <w:r>
              <w:rPr>
                <w:rFonts w:asciiTheme="minorHAnsi" w:hAnsiTheme="minorHAnsi"/>
                <w:sz w:val="16"/>
                <w:szCs w:val="16"/>
              </w:rPr>
              <w:t>-0.12</w:t>
            </w:r>
          </w:p>
          <w:p w:rsidR="001575E0" w:rsidRPr="001575E0" w:rsidRDefault="001575E0" w:rsidP="00C84D10">
            <w:pPr>
              <w:rPr>
                <w:rFonts w:asciiTheme="minorHAnsi" w:hAnsiTheme="minorHAnsi"/>
                <w:sz w:val="16"/>
                <w:szCs w:val="16"/>
              </w:rPr>
            </w:pPr>
            <w:r>
              <w:rPr>
                <w:rFonts w:asciiTheme="minorHAnsi" w:hAnsiTheme="minorHAnsi"/>
                <w:sz w:val="16"/>
                <w:szCs w:val="16"/>
              </w:rPr>
              <w:t>-0.19*</w:t>
            </w:r>
          </w:p>
        </w:tc>
        <w:tc>
          <w:tcPr>
            <w:tcW w:w="841" w:type="dxa"/>
            <w:tcBorders>
              <w:left w:val="nil"/>
              <w:right w:val="nil"/>
            </w:tcBorders>
          </w:tcPr>
          <w:p w:rsidR="00A3326B" w:rsidRDefault="001575E0" w:rsidP="00C84D10">
            <w:pPr>
              <w:rPr>
                <w:rFonts w:asciiTheme="minorHAnsi" w:hAnsiTheme="minorHAnsi"/>
                <w:sz w:val="16"/>
                <w:szCs w:val="16"/>
              </w:rPr>
            </w:pPr>
            <w:r>
              <w:rPr>
                <w:rFonts w:asciiTheme="minorHAnsi" w:hAnsiTheme="minorHAnsi"/>
                <w:sz w:val="16"/>
                <w:szCs w:val="16"/>
              </w:rPr>
              <w:t>-0.89*</w:t>
            </w:r>
          </w:p>
          <w:p w:rsidR="001575E0" w:rsidRDefault="001575E0" w:rsidP="00C84D10">
            <w:pPr>
              <w:rPr>
                <w:rFonts w:asciiTheme="minorHAnsi" w:hAnsiTheme="minorHAnsi"/>
                <w:sz w:val="16"/>
                <w:szCs w:val="16"/>
              </w:rPr>
            </w:pPr>
            <w:r>
              <w:rPr>
                <w:rFonts w:asciiTheme="minorHAnsi" w:hAnsiTheme="minorHAnsi"/>
                <w:sz w:val="16"/>
                <w:szCs w:val="16"/>
              </w:rPr>
              <w:t>-0.34*</w:t>
            </w:r>
          </w:p>
          <w:p w:rsidR="001575E0" w:rsidRPr="001575E0" w:rsidRDefault="001575E0" w:rsidP="00C84D10">
            <w:pPr>
              <w:rPr>
                <w:rFonts w:asciiTheme="minorHAnsi" w:hAnsiTheme="minorHAnsi"/>
                <w:sz w:val="16"/>
                <w:szCs w:val="16"/>
              </w:rPr>
            </w:pPr>
            <w:r>
              <w:rPr>
                <w:rFonts w:asciiTheme="minorHAnsi" w:hAnsiTheme="minorHAnsi"/>
                <w:sz w:val="16"/>
                <w:szCs w:val="16"/>
              </w:rPr>
              <w:t>-0.53*</w:t>
            </w:r>
          </w:p>
        </w:tc>
        <w:tc>
          <w:tcPr>
            <w:tcW w:w="1260" w:type="dxa"/>
            <w:tcBorders>
              <w:left w:val="nil"/>
              <w:right w:val="nil"/>
            </w:tcBorders>
          </w:tcPr>
          <w:p w:rsidR="00A3326B" w:rsidRDefault="001575E0" w:rsidP="00C84D10">
            <w:pPr>
              <w:rPr>
                <w:rFonts w:asciiTheme="minorHAnsi" w:hAnsiTheme="minorHAnsi"/>
                <w:sz w:val="16"/>
                <w:szCs w:val="16"/>
              </w:rPr>
            </w:pPr>
            <w:r>
              <w:rPr>
                <w:rFonts w:asciiTheme="minorHAnsi" w:hAnsiTheme="minorHAnsi"/>
                <w:sz w:val="16"/>
                <w:szCs w:val="16"/>
              </w:rPr>
              <w:t>-0.14*</w:t>
            </w:r>
          </w:p>
          <w:p w:rsidR="001575E0" w:rsidRDefault="001575E0" w:rsidP="00C84D10">
            <w:pPr>
              <w:rPr>
                <w:rFonts w:asciiTheme="minorHAnsi" w:hAnsiTheme="minorHAnsi"/>
                <w:sz w:val="16"/>
                <w:szCs w:val="16"/>
              </w:rPr>
            </w:pPr>
            <w:r>
              <w:rPr>
                <w:rFonts w:asciiTheme="minorHAnsi" w:hAnsiTheme="minorHAnsi"/>
                <w:sz w:val="16"/>
                <w:szCs w:val="16"/>
              </w:rPr>
              <w:t>-0.08</w:t>
            </w:r>
          </w:p>
          <w:p w:rsidR="001575E0" w:rsidRPr="001575E0" w:rsidRDefault="001575E0" w:rsidP="00C84D10">
            <w:pPr>
              <w:rPr>
                <w:rFonts w:asciiTheme="minorHAnsi" w:hAnsiTheme="minorHAnsi"/>
                <w:sz w:val="16"/>
                <w:szCs w:val="16"/>
              </w:rPr>
            </w:pPr>
            <w:r>
              <w:rPr>
                <w:rFonts w:asciiTheme="minorHAnsi" w:hAnsiTheme="minorHAnsi"/>
                <w:sz w:val="16"/>
                <w:szCs w:val="16"/>
              </w:rPr>
              <w:t>-0.08</w:t>
            </w:r>
          </w:p>
        </w:tc>
        <w:tc>
          <w:tcPr>
            <w:tcW w:w="990" w:type="dxa"/>
            <w:tcBorders>
              <w:left w:val="nil"/>
              <w:right w:val="nil"/>
            </w:tcBorders>
          </w:tcPr>
          <w:p w:rsidR="00A3326B" w:rsidRDefault="001575E0" w:rsidP="00C84D10">
            <w:pPr>
              <w:rPr>
                <w:rFonts w:asciiTheme="minorHAnsi" w:hAnsiTheme="minorHAnsi"/>
                <w:sz w:val="16"/>
                <w:szCs w:val="16"/>
              </w:rPr>
            </w:pPr>
            <w:r>
              <w:rPr>
                <w:rFonts w:asciiTheme="minorHAnsi" w:hAnsiTheme="minorHAnsi"/>
                <w:sz w:val="16"/>
                <w:szCs w:val="16"/>
              </w:rPr>
              <w:t>18.95*</w:t>
            </w:r>
          </w:p>
          <w:p w:rsidR="001575E0" w:rsidRDefault="001575E0" w:rsidP="00C84D10">
            <w:pPr>
              <w:rPr>
                <w:rFonts w:asciiTheme="minorHAnsi" w:hAnsiTheme="minorHAnsi"/>
                <w:sz w:val="16"/>
                <w:szCs w:val="16"/>
              </w:rPr>
            </w:pPr>
            <w:r>
              <w:rPr>
                <w:rFonts w:asciiTheme="minorHAnsi" w:hAnsiTheme="minorHAnsi"/>
                <w:sz w:val="16"/>
                <w:szCs w:val="16"/>
              </w:rPr>
              <w:t>7.95*</w:t>
            </w:r>
          </w:p>
          <w:p w:rsidR="001575E0" w:rsidRPr="001575E0" w:rsidRDefault="001575E0" w:rsidP="00C84D10">
            <w:pPr>
              <w:rPr>
                <w:rFonts w:asciiTheme="minorHAnsi" w:hAnsiTheme="minorHAnsi"/>
                <w:sz w:val="16"/>
                <w:szCs w:val="16"/>
              </w:rPr>
            </w:pPr>
            <w:r>
              <w:rPr>
                <w:rFonts w:asciiTheme="minorHAnsi" w:hAnsiTheme="minorHAnsi"/>
                <w:sz w:val="16"/>
                <w:szCs w:val="16"/>
              </w:rPr>
              <w:t>12.99*</w:t>
            </w:r>
          </w:p>
        </w:tc>
        <w:tc>
          <w:tcPr>
            <w:tcW w:w="828" w:type="dxa"/>
            <w:tcBorders>
              <w:left w:val="nil"/>
              <w:right w:val="nil"/>
            </w:tcBorders>
          </w:tcPr>
          <w:p w:rsidR="00A3326B" w:rsidRDefault="001575E0" w:rsidP="00C84D10">
            <w:pPr>
              <w:rPr>
                <w:rFonts w:asciiTheme="minorHAnsi" w:hAnsiTheme="minorHAnsi"/>
                <w:sz w:val="16"/>
                <w:szCs w:val="16"/>
              </w:rPr>
            </w:pPr>
            <w:r>
              <w:rPr>
                <w:rFonts w:asciiTheme="minorHAnsi" w:hAnsiTheme="minorHAnsi"/>
                <w:sz w:val="16"/>
                <w:szCs w:val="16"/>
              </w:rPr>
              <w:t>25.2*</w:t>
            </w:r>
          </w:p>
          <w:p w:rsidR="001575E0" w:rsidRDefault="001575E0" w:rsidP="00C84D10">
            <w:pPr>
              <w:rPr>
                <w:rFonts w:asciiTheme="minorHAnsi" w:hAnsiTheme="minorHAnsi"/>
                <w:sz w:val="16"/>
                <w:szCs w:val="16"/>
              </w:rPr>
            </w:pPr>
            <w:r>
              <w:rPr>
                <w:rFonts w:asciiTheme="minorHAnsi" w:hAnsiTheme="minorHAnsi"/>
                <w:sz w:val="16"/>
                <w:szCs w:val="16"/>
              </w:rPr>
              <w:t>5.7</w:t>
            </w:r>
          </w:p>
          <w:p w:rsidR="001575E0" w:rsidRPr="001575E0" w:rsidRDefault="001575E0" w:rsidP="00C84D10">
            <w:pPr>
              <w:rPr>
                <w:rFonts w:asciiTheme="minorHAnsi" w:hAnsiTheme="minorHAnsi"/>
                <w:sz w:val="16"/>
                <w:szCs w:val="16"/>
              </w:rPr>
            </w:pPr>
            <w:r>
              <w:rPr>
                <w:rFonts w:asciiTheme="minorHAnsi" w:hAnsiTheme="minorHAnsi"/>
                <w:sz w:val="16"/>
                <w:szCs w:val="16"/>
              </w:rPr>
              <w:t>17.7*</w:t>
            </w:r>
          </w:p>
        </w:tc>
      </w:tr>
      <w:tr w:rsidR="001575E0" w:rsidRPr="00B04CFE" w:rsidTr="00731B78">
        <w:tc>
          <w:tcPr>
            <w:tcW w:w="918" w:type="dxa"/>
            <w:tcBorders>
              <w:left w:val="nil"/>
              <w:right w:val="nil"/>
            </w:tcBorders>
          </w:tcPr>
          <w:p w:rsidR="00A3326B" w:rsidRDefault="00A3326B" w:rsidP="00A3326B">
            <w:pPr>
              <w:rPr>
                <w:rFonts w:asciiTheme="minorHAnsi" w:hAnsiTheme="minorHAnsi"/>
                <w:sz w:val="16"/>
                <w:szCs w:val="16"/>
              </w:rPr>
            </w:pPr>
            <w:r>
              <w:rPr>
                <w:rFonts w:asciiTheme="minorHAnsi" w:hAnsiTheme="minorHAnsi"/>
                <w:sz w:val="16"/>
                <w:szCs w:val="16"/>
              </w:rPr>
              <w:t>Martinez</w:t>
            </w:r>
          </w:p>
        </w:tc>
        <w:tc>
          <w:tcPr>
            <w:tcW w:w="1800" w:type="dxa"/>
            <w:tcBorders>
              <w:left w:val="nil"/>
              <w:right w:val="nil"/>
            </w:tcBorders>
          </w:tcPr>
          <w:p w:rsidR="00F302A6" w:rsidRDefault="0092475A" w:rsidP="00A3326B">
            <w:pPr>
              <w:rPr>
                <w:rFonts w:asciiTheme="minorHAnsi" w:hAnsiTheme="minorHAnsi"/>
                <w:sz w:val="16"/>
                <w:szCs w:val="16"/>
              </w:rPr>
            </w:pPr>
            <w:r>
              <w:rPr>
                <w:rFonts w:asciiTheme="minorHAnsi" w:hAnsiTheme="minorHAnsi"/>
                <w:sz w:val="16"/>
                <w:szCs w:val="16"/>
              </w:rPr>
              <w:t>FF/VI 100/25 vs. PBO</w:t>
            </w:r>
          </w:p>
          <w:p w:rsidR="0092475A" w:rsidRDefault="0092475A" w:rsidP="00A3326B">
            <w:pPr>
              <w:rPr>
                <w:rFonts w:asciiTheme="minorHAnsi" w:hAnsiTheme="minorHAnsi"/>
                <w:sz w:val="16"/>
                <w:szCs w:val="16"/>
              </w:rPr>
            </w:pPr>
            <w:r>
              <w:rPr>
                <w:rFonts w:asciiTheme="minorHAnsi" w:hAnsiTheme="minorHAnsi"/>
                <w:sz w:val="16"/>
                <w:szCs w:val="16"/>
              </w:rPr>
              <w:t>FF/VI 100/25 vs. VI</w:t>
            </w:r>
          </w:p>
          <w:p w:rsidR="0092475A" w:rsidRPr="00B04CFE" w:rsidRDefault="0092475A" w:rsidP="00A3326B">
            <w:pPr>
              <w:rPr>
                <w:rFonts w:asciiTheme="minorHAnsi" w:hAnsiTheme="minorHAnsi"/>
                <w:sz w:val="16"/>
                <w:szCs w:val="16"/>
              </w:rPr>
            </w:pPr>
            <w:r>
              <w:rPr>
                <w:rFonts w:asciiTheme="minorHAnsi" w:hAnsiTheme="minorHAnsi"/>
                <w:sz w:val="16"/>
                <w:szCs w:val="16"/>
              </w:rPr>
              <w:t>FF/VI 100/25 vs. FF 100</w:t>
            </w:r>
          </w:p>
        </w:tc>
        <w:tc>
          <w:tcPr>
            <w:tcW w:w="979" w:type="dxa"/>
            <w:tcBorders>
              <w:left w:val="nil"/>
              <w:right w:val="nil"/>
            </w:tcBorders>
          </w:tcPr>
          <w:p w:rsidR="00F302A6" w:rsidRDefault="0092475A" w:rsidP="00C84D10">
            <w:pPr>
              <w:rPr>
                <w:rFonts w:asciiTheme="minorHAnsi" w:hAnsiTheme="minorHAnsi"/>
                <w:sz w:val="16"/>
                <w:szCs w:val="16"/>
              </w:rPr>
            </w:pPr>
            <w:r>
              <w:rPr>
                <w:rFonts w:asciiTheme="minorHAnsi" w:hAnsiTheme="minorHAnsi"/>
                <w:sz w:val="16"/>
                <w:szCs w:val="16"/>
              </w:rPr>
              <w:t xml:space="preserve"> -0.13*</w:t>
            </w:r>
          </w:p>
          <w:p w:rsidR="0092475A" w:rsidRDefault="0092475A" w:rsidP="00C84D10">
            <w:pPr>
              <w:rPr>
                <w:rFonts w:asciiTheme="minorHAnsi" w:hAnsiTheme="minorHAnsi"/>
                <w:sz w:val="16"/>
                <w:szCs w:val="16"/>
              </w:rPr>
            </w:pPr>
            <w:r>
              <w:rPr>
                <w:rFonts w:asciiTheme="minorHAnsi" w:hAnsiTheme="minorHAnsi"/>
                <w:sz w:val="16"/>
                <w:szCs w:val="16"/>
              </w:rPr>
              <w:t>-0.06</w:t>
            </w:r>
          </w:p>
          <w:p w:rsidR="0092475A" w:rsidRPr="00B04CFE" w:rsidRDefault="0092475A" w:rsidP="00C84D10">
            <w:pPr>
              <w:rPr>
                <w:rFonts w:asciiTheme="minorHAnsi" w:hAnsiTheme="minorHAnsi"/>
                <w:sz w:val="16"/>
                <w:szCs w:val="16"/>
              </w:rPr>
            </w:pPr>
            <w:r>
              <w:rPr>
                <w:rFonts w:asciiTheme="minorHAnsi" w:hAnsiTheme="minorHAnsi"/>
                <w:sz w:val="16"/>
                <w:szCs w:val="16"/>
              </w:rPr>
              <w:t>-0.10*</w:t>
            </w:r>
          </w:p>
        </w:tc>
        <w:tc>
          <w:tcPr>
            <w:tcW w:w="980" w:type="dxa"/>
            <w:tcBorders>
              <w:left w:val="nil"/>
              <w:right w:val="nil"/>
            </w:tcBorders>
          </w:tcPr>
          <w:p w:rsidR="00F302A6" w:rsidRDefault="0092475A" w:rsidP="00C84D10">
            <w:pPr>
              <w:rPr>
                <w:rFonts w:asciiTheme="minorHAnsi" w:hAnsiTheme="minorHAnsi"/>
                <w:sz w:val="16"/>
                <w:szCs w:val="16"/>
              </w:rPr>
            </w:pPr>
            <w:r>
              <w:rPr>
                <w:rFonts w:asciiTheme="minorHAnsi" w:hAnsiTheme="minorHAnsi"/>
                <w:sz w:val="16"/>
                <w:szCs w:val="16"/>
              </w:rPr>
              <w:t>-0.14*</w:t>
            </w:r>
          </w:p>
          <w:p w:rsidR="0092475A" w:rsidRDefault="0092475A" w:rsidP="00C84D10">
            <w:pPr>
              <w:rPr>
                <w:rFonts w:asciiTheme="minorHAnsi" w:hAnsiTheme="minorHAnsi"/>
                <w:sz w:val="16"/>
                <w:szCs w:val="16"/>
              </w:rPr>
            </w:pPr>
            <w:r>
              <w:rPr>
                <w:rFonts w:asciiTheme="minorHAnsi" w:hAnsiTheme="minorHAnsi"/>
                <w:sz w:val="16"/>
                <w:szCs w:val="16"/>
              </w:rPr>
              <w:t>-0.12*</w:t>
            </w:r>
          </w:p>
          <w:p w:rsidR="0092475A" w:rsidRPr="00B04CFE" w:rsidRDefault="0092475A" w:rsidP="00C84D10">
            <w:pPr>
              <w:rPr>
                <w:rFonts w:asciiTheme="minorHAnsi" w:hAnsiTheme="minorHAnsi"/>
                <w:sz w:val="16"/>
                <w:szCs w:val="16"/>
              </w:rPr>
            </w:pPr>
            <w:r>
              <w:rPr>
                <w:rFonts w:asciiTheme="minorHAnsi" w:hAnsiTheme="minorHAnsi"/>
                <w:sz w:val="16"/>
                <w:szCs w:val="16"/>
              </w:rPr>
              <w:t>-0.11*</w:t>
            </w:r>
          </w:p>
        </w:tc>
        <w:tc>
          <w:tcPr>
            <w:tcW w:w="980" w:type="dxa"/>
            <w:tcBorders>
              <w:left w:val="nil"/>
              <w:right w:val="nil"/>
            </w:tcBorders>
          </w:tcPr>
          <w:p w:rsidR="00F302A6" w:rsidRDefault="0092475A" w:rsidP="00C84D10">
            <w:pPr>
              <w:rPr>
                <w:rFonts w:asciiTheme="minorHAnsi" w:hAnsiTheme="minorHAnsi"/>
                <w:sz w:val="16"/>
                <w:szCs w:val="16"/>
              </w:rPr>
            </w:pPr>
            <w:r>
              <w:rPr>
                <w:rFonts w:asciiTheme="minorHAnsi" w:hAnsiTheme="minorHAnsi"/>
                <w:sz w:val="16"/>
                <w:szCs w:val="16"/>
              </w:rPr>
              <w:t>-0.31*</w:t>
            </w:r>
          </w:p>
          <w:p w:rsidR="0092475A" w:rsidRDefault="0092475A" w:rsidP="00C84D10">
            <w:pPr>
              <w:rPr>
                <w:rFonts w:asciiTheme="minorHAnsi" w:hAnsiTheme="minorHAnsi"/>
                <w:sz w:val="16"/>
                <w:szCs w:val="16"/>
              </w:rPr>
            </w:pPr>
            <w:r>
              <w:rPr>
                <w:rFonts w:asciiTheme="minorHAnsi" w:hAnsiTheme="minorHAnsi"/>
                <w:sz w:val="16"/>
                <w:szCs w:val="16"/>
              </w:rPr>
              <w:t>-0.12*</w:t>
            </w:r>
          </w:p>
          <w:p w:rsidR="0092475A" w:rsidRPr="00B04CFE" w:rsidRDefault="0092475A" w:rsidP="00C84D10">
            <w:pPr>
              <w:rPr>
                <w:rFonts w:asciiTheme="minorHAnsi" w:hAnsiTheme="minorHAnsi"/>
                <w:sz w:val="16"/>
                <w:szCs w:val="16"/>
              </w:rPr>
            </w:pPr>
            <w:r>
              <w:rPr>
                <w:rFonts w:asciiTheme="minorHAnsi" w:hAnsiTheme="minorHAnsi"/>
                <w:sz w:val="16"/>
                <w:szCs w:val="16"/>
              </w:rPr>
              <w:t>-0.21*</w:t>
            </w:r>
          </w:p>
        </w:tc>
        <w:tc>
          <w:tcPr>
            <w:tcW w:w="841" w:type="dxa"/>
            <w:tcBorders>
              <w:left w:val="nil"/>
              <w:right w:val="nil"/>
            </w:tcBorders>
          </w:tcPr>
          <w:p w:rsidR="00F302A6" w:rsidRDefault="0092475A" w:rsidP="00C84D10">
            <w:pPr>
              <w:rPr>
                <w:rFonts w:asciiTheme="minorHAnsi" w:hAnsiTheme="minorHAnsi"/>
                <w:sz w:val="16"/>
                <w:szCs w:val="16"/>
              </w:rPr>
            </w:pPr>
            <w:r>
              <w:rPr>
                <w:rFonts w:asciiTheme="minorHAnsi" w:hAnsiTheme="minorHAnsi"/>
                <w:sz w:val="16"/>
                <w:szCs w:val="16"/>
              </w:rPr>
              <w:t>-0.71*</w:t>
            </w:r>
          </w:p>
          <w:p w:rsidR="0092475A" w:rsidRDefault="0092475A" w:rsidP="00C84D10">
            <w:pPr>
              <w:rPr>
                <w:rFonts w:asciiTheme="minorHAnsi" w:hAnsiTheme="minorHAnsi"/>
                <w:sz w:val="16"/>
                <w:szCs w:val="16"/>
              </w:rPr>
            </w:pPr>
            <w:r>
              <w:rPr>
                <w:rFonts w:asciiTheme="minorHAnsi" w:hAnsiTheme="minorHAnsi"/>
                <w:sz w:val="16"/>
                <w:szCs w:val="16"/>
              </w:rPr>
              <w:t>-0.27*</w:t>
            </w:r>
          </w:p>
          <w:p w:rsidR="0092475A" w:rsidRPr="00B04CFE" w:rsidRDefault="0092475A" w:rsidP="00C84D10">
            <w:pPr>
              <w:rPr>
                <w:rFonts w:asciiTheme="minorHAnsi" w:hAnsiTheme="minorHAnsi"/>
                <w:sz w:val="16"/>
                <w:szCs w:val="16"/>
              </w:rPr>
            </w:pPr>
            <w:r>
              <w:rPr>
                <w:rFonts w:asciiTheme="minorHAnsi" w:hAnsiTheme="minorHAnsi"/>
                <w:sz w:val="16"/>
                <w:szCs w:val="16"/>
              </w:rPr>
              <w:t>-0.53*</w:t>
            </w:r>
          </w:p>
        </w:tc>
        <w:tc>
          <w:tcPr>
            <w:tcW w:w="1260" w:type="dxa"/>
            <w:tcBorders>
              <w:left w:val="nil"/>
              <w:right w:val="nil"/>
            </w:tcBorders>
          </w:tcPr>
          <w:p w:rsidR="00F302A6" w:rsidRDefault="0092475A" w:rsidP="00C84D10">
            <w:pPr>
              <w:rPr>
                <w:rFonts w:asciiTheme="minorHAnsi" w:hAnsiTheme="minorHAnsi"/>
                <w:sz w:val="16"/>
                <w:szCs w:val="16"/>
              </w:rPr>
            </w:pPr>
            <w:r w:rsidRPr="0092475A">
              <w:rPr>
                <w:rFonts w:asciiTheme="minorHAnsi" w:hAnsiTheme="minorHAnsi"/>
                <w:sz w:val="16"/>
                <w:szCs w:val="16"/>
              </w:rPr>
              <w:t>-0.20</w:t>
            </w:r>
            <w:r>
              <w:rPr>
                <w:rFonts w:asciiTheme="minorHAnsi" w:hAnsiTheme="minorHAnsi"/>
                <w:sz w:val="16"/>
                <w:szCs w:val="16"/>
              </w:rPr>
              <w:t>*</w:t>
            </w:r>
          </w:p>
          <w:p w:rsidR="0092475A" w:rsidRDefault="0092475A" w:rsidP="00C84D10">
            <w:pPr>
              <w:rPr>
                <w:rFonts w:asciiTheme="minorHAnsi" w:hAnsiTheme="minorHAnsi"/>
                <w:sz w:val="16"/>
                <w:szCs w:val="16"/>
              </w:rPr>
            </w:pPr>
            <w:r>
              <w:rPr>
                <w:rFonts w:asciiTheme="minorHAnsi" w:hAnsiTheme="minorHAnsi"/>
                <w:sz w:val="16"/>
                <w:szCs w:val="16"/>
              </w:rPr>
              <w:t>-0.08</w:t>
            </w:r>
          </w:p>
          <w:p w:rsidR="0092475A" w:rsidRPr="0092475A" w:rsidRDefault="0092475A" w:rsidP="00C84D10">
            <w:pPr>
              <w:rPr>
                <w:rFonts w:asciiTheme="minorHAnsi" w:hAnsiTheme="minorHAnsi"/>
                <w:sz w:val="16"/>
                <w:szCs w:val="16"/>
              </w:rPr>
            </w:pPr>
            <w:r>
              <w:rPr>
                <w:rFonts w:asciiTheme="minorHAnsi" w:hAnsiTheme="minorHAnsi"/>
                <w:sz w:val="16"/>
                <w:szCs w:val="16"/>
              </w:rPr>
              <w:t>-0.08</w:t>
            </w:r>
          </w:p>
        </w:tc>
        <w:tc>
          <w:tcPr>
            <w:tcW w:w="990" w:type="dxa"/>
            <w:tcBorders>
              <w:left w:val="nil"/>
              <w:right w:val="nil"/>
            </w:tcBorders>
          </w:tcPr>
          <w:p w:rsidR="00A3326B" w:rsidRDefault="0092475A" w:rsidP="00C84D10">
            <w:pPr>
              <w:rPr>
                <w:rFonts w:asciiTheme="minorHAnsi" w:hAnsiTheme="minorHAnsi"/>
                <w:sz w:val="16"/>
                <w:szCs w:val="16"/>
              </w:rPr>
            </w:pPr>
            <w:r>
              <w:rPr>
                <w:rFonts w:asciiTheme="minorHAnsi" w:hAnsiTheme="minorHAnsi"/>
                <w:sz w:val="16"/>
                <w:szCs w:val="16"/>
              </w:rPr>
              <w:t>13.54*</w:t>
            </w:r>
          </w:p>
          <w:p w:rsidR="0092475A" w:rsidRDefault="0092475A" w:rsidP="00C84D10">
            <w:pPr>
              <w:rPr>
                <w:rFonts w:asciiTheme="minorHAnsi" w:hAnsiTheme="minorHAnsi"/>
                <w:sz w:val="16"/>
                <w:szCs w:val="16"/>
              </w:rPr>
            </w:pPr>
            <w:r>
              <w:rPr>
                <w:rFonts w:asciiTheme="minorHAnsi" w:hAnsiTheme="minorHAnsi"/>
                <w:sz w:val="16"/>
                <w:szCs w:val="16"/>
              </w:rPr>
              <w:t>8.64*</w:t>
            </w:r>
          </w:p>
          <w:p w:rsidR="0092475A" w:rsidRPr="00B04CFE" w:rsidRDefault="0092475A" w:rsidP="00C84D10">
            <w:pPr>
              <w:rPr>
                <w:rFonts w:asciiTheme="minorHAnsi" w:hAnsiTheme="minorHAnsi"/>
                <w:sz w:val="16"/>
                <w:szCs w:val="16"/>
              </w:rPr>
            </w:pPr>
            <w:r>
              <w:rPr>
                <w:rFonts w:asciiTheme="minorHAnsi" w:hAnsiTheme="minorHAnsi"/>
                <w:sz w:val="16"/>
                <w:szCs w:val="16"/>
              </w:rPr>
              <w:t>13.62*</w:t>
            </w:r>
          </w:p>
        </w:tc>
        <w:tc>
          <w:tcPr>
            <w:tcW w:w="828" w:type="dxa"/>
            <w:tcBorders>
              <w:left w:val="nil"/>
              <w:right w:val="nil"/>
            </w:tcBorders>
          </w:tcPr>
          <w:p w:rsidR="00A3326B" w:rsidRDefault="0092475A" w:rsidP="00C84D10">
            <w:pPr>
              <w:rPr>
                <w:rFonts w:asciiTheme="minorHAnsi" w:hAnsiTheme="minorHAnsi"/>
                <w:sz w:val="16"/>
                <w:szCs w:val="16"/>
              </w:rPr>
            </w:pPr>
            <w:r>
              <w:rPr>
                <w:rFonts w:asciiTheme="minorHAnsi" w:hAnsiTheme="minorHAnsi"/>
                <w:sz w:val="16"/>
                <w:szCs w:val="16"/>
              </w:rPr>
              <w:t>21.7*</w:t>
            </w:r>
          </w:p>
          <w:p w:rsidR="0092475A" w:rsidRDefault="0092475A" w:rsidP="00C84D10">
            <w:pPr>
              <w:rPr>
                <w:rFonts w:asciiTheme="minorHAnsi" w:hAnsiTheme="minorHAnsi"/>
                <w:sz w:val="16"/>
                <w:szCs w:val="16"/>
              </w:rPr>
            </w:pPr>
            <w:r>
              <w:rPr>
                <w:rFonts w:asciiTheme="minorHAnsi" w:hAnsiTheme="minorHAnsi"/>
                <w:sz w:val="16"/>
                <w:szCs w:val="16"/>
              </w:rPr>
              <w:t>5.8</w:t>
            </w:r>
          </w:p>
          <w:p w:rsidR="0092475A" w:rsidRPr="00B04CFE" w:rsidRDefault="0092475A" w:rsidP="00C84D10">
            <w:pPr>
              <w:rPr>
                <w:rFonts w:asciiTheme="minorHAnsi" w:hAnsiTheme="minorHAnsi"/>
                <w:sz w:val="16"/>
                <w:szCs w:val="16"/>
              </w:rPr>
            </w:pPr>
            <w:r>
              <w:rPr>
                <w:rFonts w:asciiTheme="minorHAnsi" w:hAnsiTheme="minorHAnsi"/>
                <w:sz w:val="16"/>
                <w:szCs w:val="16"/>
              </w:rPr>
              <w:t>12.7*</w:t>
            </w:r>
          </w:p>
        </w:tc>
      </w:tr>
    </w:tbl>
    <w:p w:rsidR="00B04CFE" w:rsidRPr="00A3326B" w:rsidRDefault="001575E0" w:rsidP="00C84D10">
      <w:pPr>
        <w:rPr>
          <w:rFonts w:asciiTheme="minorHAnsi" w:hAnsiTheme="minorHAnsi"/>
          <w:sz w:val="16"/>
          <w:szCs w:val="16"/>
        </w:rPr>
      </w:pPr>
      <w:r>
        <w:rPr>
          <w:rFonts w:asciiTheme="minorHAnsi" w:hAnsiTheme="minorHAnsi"/>
          <w:sz w:val="16"/>
          <w:szCs w:val="16"/>
        </w:rPr>
        <w:t>*</w:t>
      </w:r>
      <w:r w:rsidR="00A3326B" w:rsidRPr="00A3326B">
        <w:rPr>
          <w:rFonts w:asciiTheme="minorHAnsi" w:hAnsiTheme="minorHAnsi"/>
          <w:sz w:val="16"/>
          <w:szCs w:val="16"/>
        </w:rPr>
        <w:t>Comparisons where the 95%CI excludes zero</w:t>
      </w:r>
    </w:p>
    <w:p w:rsidR="007D6BEA" w:rsidRDefault="007D6BEA">
      <w:pPr>
        <w:rPr>
          <w:rFonts w:asciiTheme="minorHAnsi" w:hAnsiTheme="minorHAnsi"/>
          <w:sz w:val="16"/>
          <w:szCs w:val="16"/>
        </w:rPr>
      </w:pPr>
    </w:p>
    <w:p w:rsidR="006937AB" w:rsidRDefault="006937AB" w:rsidP="006937AB">
      <w:pPr>
        <w:rPr>
          <w:sz w:val="20"/>
          <w:szCs w:val="20"/>
        </w:rPr>
      </w:pPr>
      <w:r>
        <w:rPr>
          <w:sz w:val="20"/>
          <w:szCs w:val="20"/>
        </w:rPr>
        <w:t>For the 1-year trials, the mean rescue inhaler use and nighttime awakenings due to COPD symptoms was lower with the combination groups compared to VI alone (data shown graphically in FDA review).</w:t>
      </w:r>
    </w:p>
    <w:p w:rsidR="0092475A" w:rsidRPr="00FC4B4B" w:rsidRDefault="0092475A">
      <w:pPr>
        <w:rPr>
          <w:rFonts w:asciiTheme="minorHAnsi" w:hAnsiTheme="minorHAnsi"/>
          <w:sz w:val="16"/>
          <w:szCs w:val="16"/>
        </w:rPr>
      </w:pPr>
    </w:p>
    <w:p w:rsidR="00D15E7D" w:rsidRPr="00D15E7D" w:rsidRDefault="00D15E7D" w:rsidP="00AB39E0">
      <w:pPr>
        <w:ind w:left="-270"/>
        <w:rPr>
          <w:i/>
          <w:sz w:val="20"/>
          <w:szCs w:val="20"/>
          <w:u w:val="single"/>
        </w:rPr>
      </w:pPr>
      <w:r>
        <w:rPr>
          <w:sz w:val="20"/>
          <w:szCs w:val="20"/>
        </w:rPr>
        <w:tab/>
      </w:r>
      <w:r w:rsidRPr="00D15E7D">
        <w:rPr>
          <w:i/>
          <w:sz w:val="20"/>
          <w:szCs w:val="20"/>
          <w:u w:val="single"/>
        </w:rPr>
        <w:t>COPD Exacerbations</w:t>
      </w:r>
    </w:p>
    <w:p w:rsidR="003960FF" w:rsidRDefault="003960FF" w:rsidP="003960FF">
      <w:pPr>
        <w:rPr>
          <w:sz w:val="20"/>
          <w:szCs w:val="20"/>
        </w:rPr>
      </w:pPr>
      <w:r>
        <w:rPr>
          <w:sz w:val="20"/>
          <w:szCs w:val="20"/>
        </w:rPr>
        <w:t>The two 1-year</w:t>
      </w:r>
      <w:r w:rsidR="00A6057B">
        <w:rPr>
          <w:sz w:val="20"/>
          <w:szCs w:val="20"/>
        </w:rPr>
        <w:t xml:space="preserve"> trials were designed to evaluate </w:t>
      </w:r>
      <w:r w:rsidR="002938A0">
        <w:rPr>
          <w:sz w:val="20"/>
          <w:szCs w:val="20"/>
        </w:rPr>
        <w:t xml:space="preserve">the impact </w:t>
      </w:r>
      <w:r w:rsidR="00A6057B">
        <w:rPr>
          <w:sz w:val="20"/>
          <w:szCs w:val="20"/>
        </w:rPr>
        <w:t xml:space="preserve">FF/VI </w:t>
      </w:r>
      <w:r w:rsidR="002938A0">
        <w:rPr>
          <w:sz w:val="20"/>
          <w:szCs w:val="20"/>
        </w:rPr>
        <w:t xml:space="preserve">has </w:t>
      </w:r>
      <w:r w:rsidR="00A6057B">
        <w:rPr>
          <w:sz w:val="20"/>
          <w:szCs w:val="20"/>
        </w:rPr>
        <w:t xml:space="preserve">on the rate of moderate and severe COPD exacerbations.  The primary outcome was the annual rate of moderate-severe </w:t>
      </w:r>
      <w:r>
        <w:rPr>
          <w:sz w:val="20"/>
          <w:szCs w:val="20"/>
        </w:rPr>
        <w:t>exacerbations</w:t>
      </w:r>
      <w:r w:rsidR="00A6057B">
        <w:rPr>
          <w:sz w:val="20"/>
          <w:szCs w:val="20"/>
        </w:rPr>
        <w:t>.</w:t>
      </w:r>
      <w:r>
        <w:rPr>
          <w:sz w:val="20"/>
          <w:szCs w:val="20"/>
        </w:rPr>
        <w:t xml:space="preserve"> </w:t>
      </w:r>
      <w:r w:rsidRPr="00427FFD">
        <w:rPr>
          <w:sz w:val="20"/>
          <w:szCs w:val="20"/>
        </w:rPr>
        <w:t>Time to first moderate or severe exacerbation and annual rate of corticosteroid-treated exacerbations also were assessed</w:t>
      </w:r>
      <w:r>
        <w:rPr>
          <w:sz w:val="20"/>
          <w:szCs w:val="20"/>
        </w:rPr>
        <w:t xml:space="preserve"> </w:t>
      </w:r>
    </w:p>
    <w:p w:rsidR="00A6057B" w:rsidRDefault="00A6057B" w:rsidP="00241F1A">
      <w:pPr>
        <w:rPr>
          <w:sz w:val="20"/>
          <w:szCs w:val="20"/>
        </w:rPr>
      </w:pPr>
    </w:p>
    <w:p w:rsidR="00A6057B" w:rsidRDefault="00912E77" w:rsidP="00241F1A">
      <w:pPr>
        <w:rPr>
          <w:sz w:val="20"/>
          <w:szCs w:val="20"/>
        </w:rPr>
      </w:pPr>
      <w:r>
        <w:rPr>
          <w:sz w:val="20"/>
          <w:szCs w:val="20"/>
        </w:rPr>
        <w:t xml:space="preserve">COPD exacerbations were defined as </w:t>
      </w:r>
      <w:r w:rsidR="00A6057B">
        <w:rPr>
          <w:sz w:val="20"/>
          <w:szCs w:val="20"/>
        </w:rPr>
        <w:t>worsening of ≥ 2 major symptoms (</w:t>
      </w:r>
      <w:r>
        <w:rPr>
          <w:sz w:val="20"/>
          <w:szCs w:val="20"/>
        </w:rPr>
        <w:t>dyspnea, cough, sputum volume, sputum purulence)</w:t>
      </w:r>
      <w:r w:rsidR="00A6057B">
        <w:rPr>
          <w:sz w:val="20"/>
          <w:szCs w:val="20"/>
        </w:rPr>
        <w:t xml:space="preserve"> or any 1 major symptom plus any 1 of the following minor symptoms (sore throat, colds, fever without other cause, and increased cough to wheeze for at least 2 consecutive days)</w:t>
      </w:r>
      <w:r>
        <w:rPr>
          <w:sz w:val="20"/>
          <w:szCs w:val="20"/>
        </w:rPr>
        <w:t>.  Exace</w:t>
      </w:r>
      <w:r w:rsidR="00A6057B">
        <w:rPr>
          <w:sz w:val="20"/>
          <w:szCs w:val="20"/>
        </w:rPr>
        <w:t xml:space="preserve">rbations were classified as moderate if treatment with systemic steroids and/or antibiotics was required and severe if hospitalization was required.  </w:t>
      </w:r>
      <w:r>
        <w:rPr>
          <w:sz w:val="20"/>
          <w:szCs w:val="20"/>
        </w:rPr>
        <w:t xml:space="preserve"> </w:t>
      </w:r>
    </w:p>
    <w:p w:rsidR="005E0CC6" w:rsidRDefault="005E0CC6" w:rsidP="00241F1A">
      <w:pPr>
        <w:rPr>
          <w:sz w:val="20"/>
          <w:szCs w:val="20"/>
        </w:rPr>
      </w:pPr>
    </w:p>
    <w:p w:rsidR="007300D8" w:rsidRDefault="007300D8" w:rsidP="00241F1A">
      <w:pPr>
        <w:rPr>
          <w:sz w:val="20"/>
          <w:szCs w:val="20"/>
        </w:rPr>
      </w:pPr>
      <w:r>
        <w:rPr>
          <w:sz w:val="20"/>
          <w:szCs w:val="20"/>
        </w:rPr>
        <w:t xml:space="preserve">The integrated study results </w:t>
      </w:r>
      <w:r w:rsidR="005E0CC6">
        <w:rPr>
          <w:sz w:val="20"/>
          <w:szCs w:val="20"/>
        </w:rPr>
        <w:t xml:space="preserve">showed that </w:t>
      </w:r>
      <w:r>
        <w:rPr>
          <w:sz w:val="20"/>
          <w:szCs w:val="20"/>
        </w:rPr>
        <w:t xml:space="preserve">FF/VI 50/25, 100/25, and 200/25 </w:t>
      </w:r>
      <w:r w:rsidR="005E0CC6">
        <w:rPr>
          <w:sz w:val="20"/>
          <w:szCs w:val="20"/>
        </w:rPr>
        <w:t>reduced the</w:t>
      </w:r>
      <w:r>
        <w:rPr>
          <w:sz w:val="20"/>
          <w:szCs w:val="20"/>
        </w:rPr>
        <w:t xml:space="preserve"> annual rate of moderate/severe exacerbations </w:t>
      </w:r>
      <w:r w:rsidR="005E0CC6">
        <w:rPr>
          <w:sz w:val="20"/>
          <w:szCs w:val="20"/>
        </w:rPr>
        <w:t xml:space="preserve">by 16%, 27%, and 23% respectively </w:t>
      </w:r>
      <w:r>
        <w:rPr>
          <w:sz w:val="20"/>
          <w:szCs w:val="20"/>
        </w:rPr>
        <w:t xml:space="preserve">versus vilanterol alone.  Individual </w:t>
      </w:r>
      <w:r w:rsidR="004608B6">
        <w:rPr>
          <w:sz w:val="20"/>
          <w:szCs w:val="20"/>
        </w:rPr>
        <w:t xml:space="preserve">study </w:t>
      </w:r>
      <w:r>
        <w:rPr>
          <w:sz w:val="20"/>
          <w:szCs w:val="20"/>
        </w:rPr>
        <w:t xml:space="preserve">results are shown in </w:t>
      </w:r>
      <w:r w:rsidR="00970B3D">
        <w:rPr>
          <w:b/>
          <w:sz w:val="20"/>
          <w:szCs w:val="20"/>
          <w:u w:val="single"/>
        </w:rPr>
        <w:t>Table 5</w:t>
      </w:r>
      <w:r>
        <w:rPr>
          <w:sz w:val="20"/>
          <w:szCs w:val="20"/>
        </w:rPr>
        <w:t>.</w:t>
      </w:r>
      <w:r w:rsidR="00267F19">
        <w:rPr>
          <w:sz w:val="20"/>
          <w:szCs w:val="20"/>
        </w:rPr>
        <w:t xml:space="preserve">  </w:t>
      </w:r>
      <w:r w:rsidR="00427FFD">
        <w:rPr>
          <w:sz w:val="20"/>
          <w:szCs w:val="20"/>
        </w:rPr>
        <w:t>The risk of time to first moderate-severe exacerbation was reduced by 24% with FF/VI 100/25 versus vilanterol alone.</w:t>
      </w:r>
    </w:p>
    <w:p w:rsidR="006E0DE9" w:rsidRDefault="006E0DE9" w:rsidP="00B8048A">
      <w:pPr>
        <w:ind w:left="-270"/>
        <w:rPr>
          <w:sz w:val="20"/>
          <w:szCs w:val="20"/>
        </w:rPr>
      </w:pPr>
    </w:p>
    <w:p w:rsidR="00C825AE" w:rsidRDefault="00970B3D" w:rsidP="006E0DE9">
      <w:pPr>
        <w:ind w:left="-270" w:firstLine="270"/>
        <w:rPr>
          <w:rFonts w:asciiTheme="minorHAnsi" w:hAnsiTheme="minorHAnsi"/>
          <w:b/>
          <w:sz w:val="20"/>
          <w:szCs w:val="20"/>
        </w:rPr>
      </w:pPr>
      <w:r>
        <w:rPr>
          <w:rFonts w:asciiTheme="minorHAnsi" w:hAnsiTheme="minorHAnsi"/>
          <w:b/>
          <w:sz w:val="20"/>
          <w:szCs w:val="20"/>
        </w:rPr>
        <w:t>Table 5</w:t>
      </w:r>
      <w:r w:rsidR="00C825AE" w:rsidRPr="00C825AE">
        <w:rPr>
          <w:rFonts w:asciiTheme="minorHAnsi" w:hAnsiTheme="minorHAnsi"/>
          <w:b/>
          <w:sz w:val="20"/>
          <w:szCs w:val="20"/>
        </w:rPr>
        <w:t xml:space="preserve">:  </w:t>
      </w:r>
      <w:r w:rsidR="002B36EA">
        <w:rPr>
          <w:rFonts w:asciiTheme="minorHAnsi" w:hAnsiTheme="minorHAnsi"/>
          <w:b/>
          <w:sz w:val="20"/>
          <w:szCs w:val="20"/>
        </w:rPr>
        <w:t xml:space="preserve">Moderate-Severe </w:t>
      </w:r>
      <w:r w:rsidR="00C825AE" w:rsidRPr="00C825AE">
        <w:rPr>
          <w:rFonts w:asciiTheme="minorHAnsi" w:hAnsiTheme="minorHAnsi"/>
          <w:b/>
          <w:sz w:val="20"/>
          <w:szCs w:val="20"/>
        </w:rPr>
        <w:t>COPD Exacerbations</w:t>
      </w:r>
      <w:r w:rsidR="00F20A55">
        <w:rPr>
          <w:rFonts w:asciiTheme="minorHAnsi" w:hAnsiTheme="minorHAnsi"/>
          <w:b/>
          <w:sz w:val="20"/>
          <w:szCs w:val="20"/>
        </w:rPr>
        <w:t xml:space="preserve"> in 1-year Trials</w:t>
      </w:r>
    </w:p>
    <w:tbl>
      <w:tblPr>
        <w:tblStyle w:val="TableGrid"/>
        <w:tblW w:w="6408" w:type="dxa"/>
        <w:tblLook w:val="04A0" w:firstRow="1" w:lastRow="0" w:firstColumn="1" w:lastColumn="0" w:noHBand="0" w:noVBand="1"/>
      </w:tblPr>
      <w:tblGrid>
        <w:gridCol w:w="918"/>
        <w:gridCol w:w="720"/>
        <w:gridCol w:w="1710"/>
        <w:gridCol w:w="1620"/>
        <w:gridCol w:w="1440"/>
      </w:tblGrid>
      <w:tr w:rsidR="00F20A55" w:rsidRPr="008356E9" w:rsidTr="00F20A55">
        <w:trPr>
          <w:trHeight w:val="413"/>
        </w:trPr>
        <w:tc>
          <w:tcPr>
            <w:tcW w:w="918" w:type="dxa"/>
            <w:tcBorders>
              <w:left w:val="nil"/>
              <w:right w:val="nil"/>
            </w:tcBorders>
            <w:shd w:val="clear" w:color="auto" w:fill="D9D9D9" w:themeFill="background1" w:themeFillShade="D9"/>
            <w:vAlign w:val="center"/>
          </w:tcPr>
          <w:p w:rsidR="00F20A55" w:rsidRPr="00317051" w:rsidRDefault="00F20A55" w:rsidP="00E11107">
            <w:pPr>
              <w:rPr>
                <w:rFonts w:asciiTheme="minorHAnsi" w:hAnsiTheme="minorHAnsi"/>
                <w:b/>
                <w:sz w:val="16"/>
                <w:szCs w:val="16"/>
              </w:rPr>
            </w:pPr>
            <w:r w:rsidRPr="00317051">
              <w:rPr>
                <w:rFonts w:asciiTheme="minorHAnsi" w:hAnsiTheme="minorHAnsi"/>
                <w:b/>
                <w:sz w:val="16"/>
                <w:szCs w:val="16"/>
              </w:rPr>
              <w:t>Study</w:t>
            </w:r>
          </w:p>
        </w:tc>
        <w:tc>
          <w:tcPr>
            <w:tcW w:w="720" w:type="dxa"/>
            <w:tcBorders>
              <w:left w:val="nil"/>
              <w:right w:val="nil"/>
            </w:tcBorders>
            <w:shd w:val="clear" w:color="auto" w:fill="D9D9D9" w:themeFill="background1" w:themeFillShade="D9"/>
            <w:vAlign w:val="center"/>
          </w:tcPr>
          <w:p w:rsidR="00F20A55" w:rsidRPr="00317051" w:rsidRDefault="00F20A55" w:rsidP="00E11107">
            <w:pPr>
              <w:jc w:val="center"/>
              <w:rPr>
                <w:rFonts w:asciiTheme="minorHAnsi" w:hAnsiTheme="minorHAnsi"/>
                <w:b/>
                <w:sz w:val="16"/>
                <w:szCs w:val="16"/>
              </w:rPr>
            </w:pPr>
            <w:r w:rsidRPr="00317051">
              <w:rPr>
                <w:rFonts w:asciiTheme="minorHAnsi" w:hAnsiTheme="minorHAnsi"/>
                <w:b/>
                <w:sz w:val="16"/>
                <w:szCs w:val="16"/>
              </w:rPr>
              <w:t>N</w:t>
            </w:r>
          </w:p>
        </w:tc>
        <w:tc>
          <w:tcPr>
            <w:tcW w:w="1710" w:type="dxa"/>
            <w:tcBorders>
              <w:left w:val="nil"/>
              <w:right w:val="nil"/>
            </w:tcBorders>
            <w:shd w:val="clear" w:color="auto" w:fill="D9D9D9" w:themeFill="background1" w:themeFillShade="D9"/>
            <w:vAlign w:val="center"/>
          </w:tcPr>
          <w:p w:rsidR="00F20A55" w:rsidRPr="00317051" w:rsidRDefault="00F20A55" w:rsidP="00E11107">
            <w:pPr>
              <w:rPr>
                <w:rFonts w:asciiTheme="minorHAnsi" w:hAnsiTheme="minorHAnsi"/>
                <w:b/>
                <w:sz w:val="16"/>
                <w:szCs w:val="16"/>
              </w:rPr>
            </w:pPr>
            <w:r w:rsidRPr="00317051">
              <w:rPr>
                <w:rFonts w:asciiTheme="minorHAnsi" w:hAnsiTheme="minorHAnsi"/>
                <w:b/>
                <w:sz w:val="16"/>
                <w:szCs w:val="16"/>
              </w:rPr>
              <w:t>Treatment Arms</w:t>
            </w:r>
          </w:p>
        </w:tc>
        <w:tc>
          <w:tcPr>
            <w:tcW w:w="1620" w:type="dxa"/>
            <w:tcBorders>
              <w:left w:val="nil"/>
              <w:right w:val="nil"/>
            </w:tcBorders>
            <w:shd w:val="clear" w:color="auto" w:fill="D9D9D9" w:themeFill="background1" w:themeFillShade="D9"/>
          </w:tcPr>
          <w:p w:rsidR="00F20A55" w:rsidRPr="00317051" w:rsidRDefault="00F20A55" w:rsidP="00E11107">
            <w:pPr>
              <w:rPr>
                <w:rFonts w:asciiTheme="minorHAnsi" w:hAnsiTheme="minorHAnsi"/>
                <w:b/>
                <w:sz w:val="16"/>
                <w:szCs w:val="16"/>
              </w:rPr>
            </w:pPr>
            <w:r>
              <w:rPr>
                <w:rFonts w:asciiTheme="minorHAnsi" w:hAnsiTheme="minorHAnsi"/>
                <w:b/>
                <w:sz w:val="16"/>
                <w:szCs w:val="16"/>
              </w:rPr>
              <w:t>Mean Annual Rate (exacerbations/year)</w:t>
            </w:r>
          </w:p>
        </w:tc>
        <w:tc>
          <w:tcPr>
            <w:tcW w:w="1440" w:type="dxa"/>
            <w:tcBorders>
              <w:left w:val="nil"/>
              <w:right w:val="nil"/>
            </w:tcBorders>
            <w:shd w:val="clear" w:color="auto" w:fill="D9D9D9" w:themeFill="background1" w:themeFillShade="D9"/>
          </w:tcPr>
          <w:p w:rsidR="00F20A55" w:rsidRDefault="00F20A55" w:rsidP="009B4EDF">
            <w:pPr>
              <w:jc w:val="center"/>
              <w:rPr>
                <w:rFonts w:asciiTheme="minorHAnsi" w:hAnsiTheme="minorHAnsi"/>
                <w:b/>
                <w:sz w:val="16"/>
                <w:szCs w:val="16"/>
              </w:rPr>
            </w:pPr>
            <w:r>
              <w:rPr>
                <w:rFonts w:asciiTheme="minorHAnsi" w:hAnsiTheme="minorHAnsi"/>
                <w:b/>
                <w:sz w:val="16"/>
                <w:szCs w:val="16"/>
              </w:rPr>
              <w:t>Ratio vs. VI</w:t>
            </w:r>
          </w:p>
          <w:p w:rsidR="00F20A55" w:rsidRPr="008356E9" w:rsidRDefault="00F20A55" w:rsidP="009B4EDF">
            <w:pPr>
              <w:jc w:val="center"/>
              <w:rPr>
                <w:rFonts w:asciiTheme="minorHAnsi" w:hAnsiTheme="minorHAnsi"/>
                <w:b/>
                <w:sz w:val="16"/>
                <w:szCs w:val="16"/>
              </w:rPr>
            </w:pPr>
            <w:r>
              <w:rPr>
                <w:rFonts w:asciiTheme="minorHAnsi" w:hAnsiTheme="minorHAnsi"/>
                <w:b/>
                <w:sz w:val="16"/>
                <w:szCs w:val="16"/>
              </w:rPr>
              <w:t>[95%CI]</w:t>
            </w:r>
          </w:p>
        </w:tc>
      </w:tr>
      <w:tr w:rsidR="00F20A55" w:rsidRPr="008356E9" w:rsidTr="00F20A55">
        <w:tc>
          <w:tcPr>
            <w:tcW w:w="918" w:type="dxa"/>
            <w:tcBorders>
              <w:left w:val="nil"/>
              <w:right w:val="nil"/>
            </w:tcBorders>
            <w:vAlign w:val="center"/>
          </w:tcPr>
          <w:p w:rsidR="00F20A55" w:rsidRPr="000E034C" w:rsidRDefault="00F20A55" w:rsidP="00E11107">
            <w:pPr>
              <w:rPr>
                <w:rFonts w:asciiTheme="minorHAnsi" w:hAnsiTheme="minorHAnsi"/>
                <w:sz w:val="16"/>
                <w:szCs w:val="16"/>
              </w:rPr>
            </w:pPr>
            <w:r>
              <w:rPr>
                <w:rFonts w:asciiTheme="minorHAnsi" w:hAnsiTheme="minorHAnsi"/>
                <w:sz w:val="16"/>
                <w:szCs w:val="16"/>
              </w:rPr>
              <w:t>Study 102970</w:t>
            </w:r>
          </w:p>
        </w:tc>
        <w:tc>
          <w:tcPr>
            <w:tcW w:w="720" w:type="dxa"/>
            <w:tcBorders>
              <w:left w:val="nil"/>
              <w:right w:val="nil"/>
            </w:tcBorders>
            <w:vAlign w:val="center"/>
          </w:tcPr>
          <w:p w:rsidR="00F20A55" w:rsidRPr="000E034C" w:rsidRDefault="00F20A55" w:rsidP="00E11107">
            <w:pPr>
              <w:jc w:val="center"/>
              <w:rPr>
                <w:rFonts w:asciiTheme="minorHAnsi" w:hAnsiTheme="minorHAnsi"/>
                <w:sz w:val="16"/>
                <w:szCs w:val="16"/>
              </w:rPr>
            </w:pPr>
            <w:r>
              <w:rPr>
                <w:rFonts w:asciiTheme="minorHAnsi" w:hAnsiTheme="minorHAnsi"/>
                <w:sz w:val="16"/>
                <w:szCs w:val="16"/>
              </w:rPr>
              <w:t>1633</w:t>
            </w:r>
          </w:p>
        </w:tc>
        <w:tc>
          <w:tcPr>
            <w:tcW w:w="1710" w:type="dxa"/>
            <w:tcBorders>
              <w:left w:val="nil"/>
              <w:right w:val="nil"/>
            </w:tcBorders>
          </w:tcPr>
          <w:p w:rsidR="00F20A55" w:rsidRDefault="00F20A55" w:rsidP="00E11107">
            <w:pPr>
              <w:rPr>
                <w:rFonts w:asciiTheme="minorHAnsi" w:hAnsiTheme="minorHAnsi"/>
                <w:sz w:val="16"/>
                <w:szCs w:val="16"/>
              </w:rPr>
            </w:pPr>
            <w:r>
              <w:rPr>
                <w:rFonts w:asciiTheme="minorHAnsi" w:hAnsiTheme="minorHAnsi"/>
                <w:sz w:val="16"/>
                <w:szCs w:val="16"/>
              </w:rPr>
              <w:t>FF/VI 100/25 (n=403)</w:t>
            </w:r>
          </w:p>
          <w:p w:rsidR="00F20A55" w:rsidRDefault="00F20A55" w:rsidP="00E11107">
            <w:pPr>
              <w:rPr>
                <w:rFonts w:asciiTheme="minorHAnsi" w:hAnsiTheme="minorHAnsi"/>
                <w:sz w:val="16"/>
                <w:szCs w:val="16"/>
              </w:rPr>
            </w:pPr>
            <w:r>
              <w:rPr>
                <w:rFonts w:asciiTheme="minorHAnsi" w:hAnsiTheme="minorHAnsi"/>
                <w:sz w:val="16"/>
                <w:szCs w:val="16"/>
              </w:rPr>
              <w:t>FF/VI 200/25 (n=409)</w:t>
            </w:r>
          </w:p>
          <w:p w:rsidR="00F20A55" w:rsidRDefault="00F20A55" w:rsidP="00E11107">
            <w:pPr>
              <w:rPr>
                <w:rFonts w:asciiTheme="minorHAnsi" w:hAnsiTheme="minorHAnsi"/>
                <w:sz w:val="16"/>
                <w:szCs w:val="16"/>
              </w:rPr>
            </w:pPr>
            <w:r>
              <w:rPr>
                <w:rFonts w:asciiTheme="minorHAnsi" w:hAnsiTheme="minorHAnsi"/>
                <w:sz w:val="16"/>
                <w:szCs w:val="16"/>
              </w:rPr>
              <w:t>FF/VI 50/25 (n=412)</w:t>
            </w:r>
          </w:p>
          <w:p w:rsidR="00F20A55" w:rsidRPr="009D53B8" w:rsidRDefault="00F20A55" w:rsidP="00E11107">
            <w:pPr>
              <w:rPr>
                <w:rFonts w:asciiTheme="minorHAnsi" w:hAnsiTheme="minorHAnsi"/>
                <w:sz w:val="16"/>
                <w:szCs w:val="16"/>
              </w:rPr>
            </w:pPr>
            <w:r>
              <w:rPr>
                <w:rFonts w:asciiTheme="minorHAnsi" w:hAnsiTheme="minorHAnsi"/>
                <w:sz w:val="16"/>
                <w:szCs w:val="16"/>
              </w:rPr>
              <w:t>VI 25 (n=409)</w:t>
            </w:r>
          </w:p>
        </w:tc>
        <w:tc>
          <w:tcPr>
            <w:tcW w:w="1620" w:type="dxa"/>
            <w:tcBorders>
              <w:left w:val="nil"/>
              <w:right w:val="nil"/>
            </w:tcBorders>
            <w:vAlign w:val="center"/>
          </w:tcPr>
          <w:p w:rsidR="00F20A55" w:rsidRDefault="00F20A55" w:rsidP="008356E9">
            <w:pPr>
              <w:jc w:val="center"/>
              <w:rPr>
                <w:rFonts w:asciiTheme="minorHAnsi" w:hAnsiTheme="minorHAnsi"/>
                <w:sz w:val="16"/>
                <w:szCs w:val="16"/>
              </w:rPr>
            </w:pPr>
            <w:r>
              <w:rPr>
                <w:rFonts w:asciiTheme="minorHAnsi" w:hAnsiTheme="minorHAnsi"/>
                <w:sz w:val="16"/>
                <w:szCs w:val="16"/>
              </w:rPr>
              <w:t>0.90</w:t>
            </w:r>
          </w:p>
          <w:p w:rsidR="00F20A55" w:rsidRDefault="00F20A55" w:rsidP="008356E9">
            <w:pPr>
              <w:jc w:val="center"/>
              <w:rPr>
                <w:rFonts w:asciiTheme="minorHAnsi" w:hAnsiTheme="minorHAnsi"/>
                <w:sz w:val="16"/>
                <w:szCs w:val="16"/>
              </w:rPr>
            </w:pPr>
            <w:r>
              <w:rPr>
                <w:rFonts w:asciiTheme="minorHAnsi" w:hAnsiTheme="minorHAnsi"/>
                <w:sz w:val="16"/>
                <w:szCs w:val="16"/>
              </w:rPr>
              <w:t>0.79</w:t>
            </w:r>
          </w:p>
          <w:p w:rsidR="00F20A55" w:rsidRDefault="00F20A55" w:rsidP="008356E9">
            <w:pPr>
              <w:jc w:val="center"/>
              <w:rPr>
                <w:rFonts w:asciiTheme="minorHAnsi" w:hAnsiTheme="minorHAnsi"/>
                <w:sz w:val="16"/>
                <w:szCs w:val="16"/>
              </w:rPr>
            </w:pPr>
            <w:r>
              <w:rPr>
                <w:rFonts w:asciiTheme="minorHAnsi" w:hAnsiTheme="minorHAnsi"/>
                <w:sz w:val="16"/>
                <w:szCs w:val="16"/>
              </w:rPr>
              <w:t>0.92</w:t>
            </w:r>
          </w:p>
          <w:p w:rsidR="00F20A55" w:rsidRDefault="00F20A55" w:rsidP="008356E9">
            <w:pPr>
              <w:jc w:val="center"/>
              <w:rPr>
                <w:rFonts w:asciiTheme="minorHAnsi" w:hAnsiTheme="minorHAnsi"/>
                <w:sz w:val="16"/>
                <w:szCs w:val="16"/>
              </w:rPr>
            </w:pPr>
            <w:r>
              <w:rPr>
                <w:rFonts w:asciiTheme="minorHAnsi" w:hAnsiTheme="minorHAnsi"/>
                <w:sz w:val="16"/>
                <w:szCs w:val="16"/>
              </w:rPr>
              <w:t>1.14</w:t>
            </w:r>
          </w:p>
        </w:tc>
        <w:tc>
          <w:tcPr>
            <w:tcW w:w="1440" w:type="dxa"/>
            <w:tcBorders>
              <w:left w:val="nil"/>
              <w:right w:val="nil"/>
            </w:tcBorders>
          </w:tcPr>
          <w:p w:rsidR="00F20A55" w:rsidRPr="008356E9" w:rsidRDefault="00F20A55" w:rsidP="009B4EDF">
            <w:pPr>
              <w:jc w:val="center"/>
              <w:rPr>
                <w:rFonts w:asciiTheme="minorHAnsi" w:hAnsiTheme="minorHAnsi"/>
                <w:sz w:val="16"/>
                <w:szCs w:val="16"/>
              </w:rPr>
            </w:pPr>
            <w:r w:rsidRPr="008356E9">
              <w:rPr>
                <w:rFonts w:asciiTheme="minorHAnsi" w:hAnsiTheme="minorHAnsi"/>
                <w:sz w:val="16"/>
                <w:szCs w:val="16"/>
              </w:rPr>
              <w:t>0.79 [0.64, 0.97]</w:t>
            </w:r>
          </w:p>
          <w:p w:rsidR="00F20A55" w:rsidRPr="008356E9" w:rsidRDefault="00F20A55" w:rsidP="009B4EDF">
            <w:pPr>
              <w:jc w:val="center"/>
              <w:rPr>
                <w:rFonts w:asciiTheme="minorHAnsi" w:hAnsiTheme="minorHAnsi"/>
                <w:sz w:val="16"/>
                <w:szCs w:val="16"/>
              </w:rPr>
            </w:pPr>
            <w:r w:rsidRPr="008356E9">
              <w:rPr>
                <w:rFonts w:asciiTheme="minorHAnsi" w:hAnsiTheme="minorHAnsi"/>
                <w:sz w:val="16"/>
                <w:szCs w:val="16"/>
              </w:rPr>
              <w:t>0.69 [0.56, 0.85]</w:t>
            </w:r>
          </w:p>
          <w:p w:rsidR="00F20A55" w:rsidRPr="008356E9" w:rsidRDefault="00F20A55" w:rsidP="009B4EDF">
            <w:pPr>
              <w:jc w:val="center"/>
              <w:rPr>
                <w:rFonts w:asciiTheme="minorHAnsi" w:hAnsiTheme="minorHAnsi"/>
                <w:sz w:val="16"/>
                <w:szCs w:val="16"/>
              </w:rPr>
            </w:pPr>
            <w:r w:rsidRPr="008356E9">
              <w:rPr>
                <w:rFonts w:asciiTheme="minorHAnsi" w:hAnsiTheme="minorHAnsi"/>
                <w:sz w:val="16"/>
                <w:szCs w:val="16"/>
              </w:rPr>
              <w:t>0.81 [0.66, 0.99]</w:t>
            </w:r>
          </w:p>
          <w:p w:rsidR="00F20A55" w:rsidRPr="008356E9" w:rsidRDefault="00F20A55" w:rsidP="009B4EDF">
            <w:pPr>
              <w:jc w:val="center"/>
              <w:rPr>
                <w:rFonts w:asciiTheme="minorHAnsi" w:hAnsiTheme="minorHAnsi"/>
                <w:sz w:val="16"/>
                <w:szCs w:val="16"/>
              </w:rPr>
            </w:pPr>
            <w:r w:rsidRPr="008356E9">
              <w:rPr>
                <w:rFonts w:asciiTheme="minorHAnsi" w:hAnsiTheme="minorHAnsi"/>
                <w:sz w:val="16"/>
                <w:szCs w:val="16"/>
              </w:rPr>
              <w:t>-</w:t>
            </w:r>
          </w:p>
        </w:tc>
      </w:tr>
      <w:tr w:rsidR="00F20A55" w:rsidRPr="008356E9" w:rsidTr="00F20A55">
        <w:tc>
          <w:tcPr>
            <w:tcW w:w="918" w:type="dxa"/>
            <w:tcBorders>
              <w:left w:val="nil"/>
              <w:right w:val="nil"/>
            </w:tcBorders>
            <w:vAlign w:val="center"/>
          </w:tcPr>
          <w:p w:rsidR="00F20A55" w:rsidRDefault="00F20A55" w:rsidP="00E11107">
            <w:pPr>
              <w:rPr>
                <w:rFonts w:asciiTheme="minorHAnsi" w:hAnsiTheme="minorHAnsi"/>
                <w:sz w:val="16"/>
                <w:szCs w:val="16"/>
              </w:rPr>
            </w:pPr>
            <w:r>
              <w:rPr>
                <w:rFonts w:asciiTheme="minorHAnsi" w:hAnsiTheme="minorHAnsi"/>
                <w:sz w:val="16"/>
                <w:szCs w:val="16"/>
              </w:rPr>
              <w:t>Study 102871</w:t>
            </w:r>
          </w:p>
        </w:tc>
        <w:tc>
          <w:tcPr>
            <w:tcW w:w="720" w:type="dxa"/>
            <w:tcBorders>
              <w:left w:val="nil"/>
              <w:right w:val="nil"/>
            </w:tcBorders>
            <w:vAlign w:val="center"/>
          </w:tcPr>
          <w:p w:rsidR="00F20A55" w:rsidRPr="000E034C" w:rsidRDefault="00F20A55" w:rsidP="00E11107">
            <w:pPr>
              <w:jc w:val="center"/>
              <w:rPr>
                <w:rFonts w:asciiTheme="minorHAnsi" w:hAnsiTheme="minorHAnsi"/>
                <w:sz w:val="16"/>
                <w:szCs w:val="16"/>
              </w:rPr>
            </w:pPr>
            <w:r>
              <w:rPr>
                <w:rFonts w:asciiTheme="minorHAnsi" w:hAnsiTheme="minorHAnsi"/>
                <w:sz w:val="16"/>
                <w:szCs w:val="16"/>
              </w:rPr>
              <w:t>1622</w:t>
            </w:r>
          </w:p>
        </w:tc>
        <w:tc>
          <w:tcPr>
            <w:tcW w:w="1710" w:type="dxa"/>
            <w:tcBorders>
              <w:left w:val="nil"/>
              <w:right w:val="nil"/>
            </w:tcBorders>
          </w:tcPr>
          <w:p w:rsidR="00F20A55" w:rsidRDefault="00F20A55" w:rsidP="008356E9">
            <w:pPr>
              <w:rPr>
                <w:rFonts w:asciiTheme="minorHAnsi" w:hAnsiTheme="minorHAnsi"/>
                <w:sz w:val="16"/>
                <w:szCs w:val="16"/>
              </w:rPr>
            </w:pPr>
            <w:r>
              <w:rPr>
                <w:rFonts w:asciiTheme="minorHAnsi" w:hAnsiTheme="minorHAnsi"/>
                <w:sz w:val="16"/>
                <w:szCs w:val="16"/>
              </w:rPr>
              <w:t>FF/VI 100/25 (n=403)</w:t>
            </w:r>
          </w:p>
          <w:p w:rsidR="00F20A55" w:rsidRDefault="00F20A55" w:rsidP="008356E9">
            <w:pPr>
              <w:rPr>
                <w:rFonts w:asciiTheme="minorHAnsi" w:hAnsiTheme="minorHAnsi"/>
                <w:sz w:val="16"/>
                <w:szCs w:val="16"/>
              </w:rPr>
            </w:pPr>
            <w:r>
              <w:rPr>
                <w:rFonts w:asciiTheme="minorHAnsi" w:hAnsiTheme="minorHAnsi"/>
                <w:sz w:val="16"/>
                <w:szCs w:val="16"/>
              </w:rPr>
              <w:t>FF/VI 200/25 (n=402)</w:t>
            </w:r>
          </w:p>
          <w:p w:rsidR="00F20A55" w:rsidRDefault="00F20A55" w:rsidP="008356E9">
            <w:pPr>
              <w:rPr>
                <w:rFonts w:asciiTheme="minorHAnsi" w:hAnsiTheme="minorHAnsi"/>
                <w:sz w:val="16"/>
                <w:szCs w:val="16"/>
              </w:rPr>
            </w:pPr>
            <w:r>
              <w:rPr>
                <w:rFonts w:asciiTheme="minorHAnsi" w:hAnsiTheme="minorHAnsi"/>
                <w:sz w:val="16"/>
                <w:szCs w:val="16"/>
              </w:rPr>
              <w:t>FF/VI 50/25 (n=408)</w:t>
            </w:r>
          </w:p>
          <w:p w:rsidR="00F20A55" w:rsidRPr="009D53B8" w:rsidRDefault="00F20A55" w:rsidP="008356E9">
            <w:pPr>
              <w:rPr>
                <w:rFonts w:asciiTheme="minorHAnsi" w:hAnsiTheme="minorHAnsi"/>
                <w:sz w:val="16"/>
                <w:szCs w:val="16"/>
              </w:rPr>
            </w:pPr>
            <w:r>
              <w:rPr>
                <w:rFonts w:asciiTheme="minorHAnsi" w:hAnsiTheme="minorHAnsi"/>
                <w:sz w:val="16"/>
                <w:szCs w:val="16"/>
              </w:rPr>
              <w:t>VI 25 (n=409)</w:t>
            </w:r>
          </w:p>
        </w:tc>
        <w:tc>
          <w:tcPr>
            <w:tcW w:w="1620" w:type="dxa"/>
            <w:tcBorders>
              <w:left w:val="nil"/>
              <w:right w:val="nil"/>
            </w:tcBorders>
          </w:tcPr>
          <w:p w:rsidR="00F20A55" w:rsidRDefault="00F20A55" w:rsidP="008356E9">
            <w:pPr>
              <w:jc w:val="center"/>
              <w:rPr>
                <w:rFonts w:asciiTheme="minorHAnsi" w:hAnsiTheme="minorHAnsi"/>
                <w:sz w:val="16"/>
                <w:szCs w:val="16"/>
              </w:rPr>
            </w:pPr>
            <w:r>
              <w:rPr>
                <w:rFonts w:asciiTheme="minorHAnsi" w:hAnsiTheme="minorHAnsi"/>
                <w:sz w:val="16"/>
                <w:szCs w:val="16"/>
              </w:rPr>
              <w:t>0.70</w:t>
            </w:r>
          </w:p>
          <w:p w:rsidR="00F20A55" w:rsidRDefault="00F20A55" w:rsidP="008356E9">
            <w:pPr>
              <w:jc w:val="center"/>
              <w:rPr>
                <w:rFonts w:asciiTheme="minorHAnsi" w:hAnsiTheme="minorHAnsi"/>
                <w:sz w:val="16"/>
                <w:szCs w:val="16"/>
              </w:rPr>
            </w:pPr>
            <w:r>
              <w:rPr>
                <w:rFonts w:asciiTheme="minorHAnsi" w:hAnsiTheme="minorHAnsi"/>
                <w:sz w:val="16"/>
                <w:szCs w:val="16"/>
              </w:rPr>
              <w:t>0.90</w:t>
            </w:r>
          </w:p>
          <w:p w:rsidR="00F20A55" w:rsidRDefault="00F20A55" w:rsidP="008356E9">
            <w:pPr>
              <w:jc w:val="center"/>
              <w:rPr>
                <w:rFonts w:asciiTheme="minorHAnsi" w:hAnsiTheme="minorHAnsi"/>
                <w:sz w:val="16"/>
                <w:szCs w:val="16"/>
              </w:rPr>
            </w:pPr>
            <w:r>
              <w:rPr>
                <w:rFonts w:asciiTheme="minorHAnsi" w:hAnsiTheme="minorHAnsi"/>
                <w:sz w:val="16"/>
                <w:szCs w:val="16"/>
              </w:rPr>
              <w:t>0.92</w:t>
            </w:r>
          </w:p>
          <w:p w:rsidR="00F20A55" w:rsidRDefault="00F20A55" w:rsidP="008356E9">
            <w:pPr>
              <w:jc w:val="center"/>
              <w:rPr>
                <w:rFonts w:asciiTheme="minorHAnsi" w:hAnsiTheme="minorHAnsi"/>
                <w:sz w:val="16"/>
                <w:szCs w:val="16"/>
              </w:rPr>
            </w:pPr>
            <w:r>
              <w:rPr>
                <w:rFonts w:asciiTheme="minorHAnsi" w:hAnsiTheme="minorHAnsi"/>
                <w:sz w:val="16"/>
                <w:szCs w:val="16"/>
              </w:rPr>
              <w:t>1.05</w:t>
            </w:r>
          </w:p>
        </w:tc>
        <w:tc>
          <w:tcPr>
            <w:tcW w:w="1440" w:type="dxa"/>
            <w:tcBorders>
              <w:left w:val="nil"/>
              <w:right w:val="nil"/>
            </w:tcBorders>
          </w:tcPr>
          <w:p w:rsidR="00F20A55" w:rsidRPr="009B4EDF" w:rsidRDefault="00F20A55" w:rsidP="009B4EDF">
            <w:pPr>
              <w:jc w:val="center"/>
              <w:rPr>
                <w:rFonts w:asciiTheme="minorHAnsi" w:hAnsiTheme="minorHAnsi"/>
                <w:sz w:val="16"/>
                <w:szCs w:val="16"/>
              </w:rPr>
            </w:pPr>
            <w:r w:rsidRPr="009B4EDF">
              <w:rPr>
                <w:rFonts w:asciiTheme="minorHAnsi" w:hAnsiTheme="minorHAnsi"/>
                <w:sz w:val="16"/>
                <w:szCs w:val="16"/>
              </w:rPr>
              <w:t>0.66 [0.54, 0.81]</w:t>
            </w:r>
          </w:p>
          <w:p w:rsidR="00F20A55" w:rsidRPr="009B4EDF" w:rsidRDefault="00F20A55" w:rsidP="009B4EDF">
            <w:pPr>
              <w:jc w:val="center"/>
              <w:rPr>
                <w:rFonts w:asciiTheme="minorHAnsi" w:hAnsiTheme="minorHAnsi"/>
                <w:sz w:val="16"/>
                <w:szCs w:val="16"/>
              </w:rPr>
            </w:pPr>
            <w:r w:rsidRPr="009B4EDF">
              <w:rPr>
                <w:rFonts w:asciiTheme="minorHAnsi" w:hAnsiTheme="minorHAnsi"/>
                <w:sz w:val="16"/>
                <w:szCs w:val="16"/>
              </w:rPr>
              <w:t>0.85 [0.70, 1.04]</w:t>
            </w:r>
          </w:p>
          <w:p w:rsidR="00F20A55" w:rsidRPr="009B4EDF" w:rsidRDefault="00F20A55" w:rsidP="009B4EDF">
            <w:pPr>
              <w:jc w:val="center"/>
              <w:rPr>
                <w:rFonts w:asciiTheme="minorHAnsi" w:hAnsiTheme="minorHAnsi"/>
                <w:sz w:val="16"/>
                <w:szCs w:val="16"/>
              </w:rPr>
            </w:pPr>
            <w:r w:rsidRPr="009B4EDF">
              <w:rPr>
                <w:rFonts w:asciiTheme="minorHAnsi" w:hAnsiTheme="minorHAnsi"/>
                <w:sz w:val="16"/>
                <w:szCs w:val="16"/>
              </w:rPr>
              <w:t>0.87 [0.72, 1.06]</w:t>
            </w:r>
          </w:p>
          <w:p w:rsidR="00F20A55" w:rsidRPr="009B4EDF" w:rsidRDefault="00F20A55" w:rsidP="009B4EDF">
            <w:pPr>
              <w:jc w:val="center"/>
              <w:rPr>
                <w:rFonts w:asciiTheme="minorHAnsi" w:hAnsiTheme="minorHAnsi"/>
                <w:sz w:val="16"/>
                <w:szCs w:val="16"/>
              </w:rPr>
            </w:pPr>
            <w:r w:rsidRPr="009B4EDF">
              <w:rPr>
                <w:rFonts w:asciiTheme="minorHAnsi" w:hAnsiTheme="minorHAnsi"/>
                <w:sz w:val="16"/>
                <w:szCs w:val="16"/>
              </w:rPr>
              <w:t>-</w:t>
            </w:r>
          </w:p>
        </w:tc>
      </w:tr>
    </w:tbl>
    <w:p w:rsidR="008356E9" w:rsidRPr="009B4EDF" w:rsidRDefault="009B4EDF" w:rsidP="007B26B9">
      <w:pPr>
        <w:ind w:left="-270" w:firstLine="270"/>
        <w:rPr>
          <w:rFonts w:asciiTheme="minorHAnsi" w:hAnsiTheme="minorHAnsi"/>
          <w:sz w:val="16"/>
          <w:szCs w:val="16"/>
        </w:rPr>
      </w:pPr>
      <w:r w:rsidRPr="009B4EDF">
        <w:rPr>
          <w:rFonts w:asciiTheme="minorHAnsi" w:hAnsiTheme="minorHAnsi"/>
          <w:sz w:val="16"/>
          <w:szCs w:val="16"/>
        </w:rPr>
        <w:t>Information obtained from product package insert</w:t>
      </w:r>
    </w:p>
    <w:p w:rsidR="008356E9" w:rsidRDefault="008356E9" w:rsidP="007B26B9">
      <w:pPr>
        <w:ind w:left="-270" w:firstLine="270"/>
        <w:rPr>
          <w:rFonts w:asciiTheme="minorHAnsi" w:hAnsiTheme="minorHAnsi"/>
          <w:b/>
          <w:sz w:val="20"/>
          <w:szCs w:val="20"/>
        </w:rPr>
      </w:pPr>
    </w:p>
    <w:p w:rsidR="00F20A55" w:rsidRDefault="00F20A55" w:rsidP="00055EFA">
      <w:pPr>
        <w:rPr>
          <w:sz w:val="20"/>
          <w:szCs w:val="20"/>
        </w:rPr>
      </w:pPr>
      <w:r>
        <w:rPr>
          <w:sz w:val="20"/>
          <w:szCs w:val="20"/>
        </w:rPr>
        <w:t>COPD exacerbation</w:t>
      </w:r>
      <w:r w:rsidR="002365AF">
        <w:rPr>
          <w:sz w:val="20"/>
          <w:szCs w:val="20"/>
        </w:rPr>
        <w:t>s were</w:t>
      </w:r>
      <w:r>
        <w:rPr>
          <w:sz w:val="20"/>
          <w:szCs w:val="20"/>
        </w:rPr>
        <w:t xml:space="preserve"> also evaluated in the 6-month trials as part of routine adverse event monitoring</w:t>
      </w:r>
      <w:r w:rsidR="00970B3D">
        <w:rPr>
          <w:sz w:val="20"/>
          <w:szCs w:val="20"/>
        </w:rPr>
        <w:t xml:space="preserve"> (</w:t>
      </w:r>
      <w:r w:rsidR="00970B3D" w:rsidRPr="00970B3D">
        <w:rPr>
          <w:b/>
          <w:sz w:val="20"/>
          <w:szCs w:val="20"/>
          <w:u w:val="single"/>
        </w:rPr>
        <w:t>Table 6</w:t>
      </w:r>
      <w:r w:rsidR="00970B3D">
        <w:rPr>
          <w:sz w:val="20"/>
          <w:szCs w:val="20"/>
        </w:rPr>
        <w:t>)</w:t>
      </w:r>
      <w:r>
        <w:rPr>
          <w:sz w:val="20"/>
          <w:szCs w:val="20"/>
        </w:rPr>
        <w:t>.</w:t>
      </w:r>
      <w:r w:rsidR="00733F49">
        <w:rPr>
          <w:sz w:val="20"/>
          <w:szCs w:val="20"/>
        </w:rPr>
        <w:t xml:space="preserve">  The majority of exacerbations were considered moderate, most resolved, and none were fatal.  In </w:t>
      </w:r>
      <w:proofErr w:type="spellStart"/>
      <w:r w:rsidR="00733F49">
        <w:rPr>
          <w:sz w:val="20"/>
          <w:szCs w:val="20"/>
        </w:rPr>
        <w:t>Kerwin</w:t>
      </w:r>
      <w:proofErr w:type="spellEnd"/>
      <w:r w:rsidR="00733F49">
        <w:rPr>
          <w:sz w:val="20"/>
          <w:szCs w:val="20"/>
        </w:rPr>
        <w:t xml:space="preserve"> et al, both doses of the combination resulted in fewer patients with ≥ 1 exacerbation compared to placebo </w:t>
      </w:r>
      <w:r w:rsidR="00055EFA">
        <w:rPr>
          <w:sz w:val="20"/>
          <w:szCs w:val="20"/>
        </w:rPr>
        <w:t>and the</w:t>
      </w:r>
      <w:r w:rsidR="00733F49">
        <w:rPr>
          <w:sz w:val="20"/>
          <w:szCs w:val="20"/>
        </w:rPr>
        <w:t xml:space="preserve"> individual component groups.</w:t>
      </w:r>
      <w:r w:rsidR="00055EFA">
        <w:rPr>
          <w:sz w:val="20"/>
          <w:szCs w:val="20"/>
        </w:rPr>
        <w:t xml:space="preserve">  In Martinez et al., there were more patients with ≥ 1 exacerbation in both combination groups than in the steroid alone groups; however, both combination groups had fewer exacerbations compared to vilanterol alone and placebo.</w:t>
      </w:r>
    </w:p>
    <w:p w:rsidR="00141315" w:rsidRDefault="00141315" w:rsidP="007B26B9">
      <w:pPr>
        <w:ind w:left="-270" w:firstLine="270"/>
        <w:rPr>
          <w:sz w:val="20"/>
          <w:szCs w:val="20"/>
        </w:rPr>
      </w:pPr>
    </w:p>
    <w:p w:rsidR="00141315" w:rsidRPr="00141315" w:rsidRDefault="00141315" w:rsidP="007B26B9">
      <w:pPr>
        <w:ind w:left="-270" w:firstLine="270"/>
        <w:rPr>
          <w:rFonts w:asciiTheme="minorHAnsi" w:hAnsiTheme="minorHAnsi"/>
          <w:b/>
          <w:sz w:val="20"/>
          <w:szCs w:val="20"/>
        </w:rPr>
      </w:pPr>
      <w:r w:rsidRPr="00141315">
        <w:rPr>
          <w:rFonts w:asciiTheme="minorHAnsi" w:hAnsiTheme="minorHAnsi"/>
          <w:b/>
          <w:sz w:val="20"/>
          <w:szCs w:val="20"/>
        </w:rPr>
        <w:t>Table</w:t>
      </w:r>
      <w:r w:rsidR="00970B3D">
        <w:rPr>
          <w:rFonts w:asciiTheme="minorHAnsi" w:hAnsiTheme="minorHAnsi"/>
          <w:b/>
          <w:sz w:val="20"/>
          <w:szCs w:val="20"/>
        </w:rPr>
        <w:t xml:space="preserve"> 6</w:t>
      </w:r>
      <w:r>
        <w:rPr>
          <w:rFonts w:asciiTheme="minorHAnsi" w:hAnsiTheme="minorHAnsi"/>
          <w:b/>
          <w:sz w:val="20"/>
          <w:szCs w:val="20"/>
        </w:rPr>
        <w:t>:  COPD Exacerbations in 6-month Trials</w:t>
      </w:r>
    </w:p>
    <w:tbl>
      <w:tblPr>
        <w:tblStyle w:val="TableGrid"/>
        <w:tblW w:w="0" w:type="auto"/>
        <w:tblInd w:w="-72" w:type="dxa"/>
        <w:tblLook w:val="04A0" w:firstRow="1" w:lastRow="0" w:firstColumn="1" w:lastColumn="0" w:noHBand="0" w:noVBand="1"/>
      </w:tblPr>
      <w:tblGrid>
        <w:gridCol w:w="1405"/>
        <w:gridCol w:w="736"/>
        <w:gridCol w:w="736"/>
        <w:gridCol w:w="736"/>
        <w:gridCol w:w="736"/>
        <w:gridCol w:w="736"/>
        <w:gridCol w:w="757"/>
        <w:gridCol w:w="758"/>
        <w:gridCol w:w="757"/>
        <w:gridCol w:w="758"/>
        <w:gridCol w:w="757"/>
        <w:gridCol w:w="758"/>
      </w:tblGrid>
      <w:tr w:rsidR="000D7D1D" w:rsidRPr="00F20A55" w:rsidTr="007D4755">
        <w:tc>
          <w:tcPr>
            <w:tcW w:w="1405" w:type="dxa"/>
            <w:vMerge w:val="restart"/>
            <w:tcBorders>
              <w:left w:val="nil"/>
              <w:right w:val="nil"/>
            </w:tcBorders>
            <w:shd w:val="clear" w:color="auto" w:fill="D9D9D9" w:themeFill="background1" w:themeFillShade="D9"/>
          </w:tcPr>
          <w:p w:rsidR="000D7D1D" w:rsidRPr="00F20A55" w:rsidRDefault="000D7D1D" w:rsidP="007B26B9">
            <w:pPr>
              <w:rPr>
                <w:rFonts w:asciiTheme="minorHAnsi" w:hAnsiTheme="minorHAnsi"/>
                <w:sz w:val="16"/>
                <w:szCs w:val="16"/>
              </w:rPr>
            </w:pPr>
          </w:p>
        </w:tc>
        <w:tc>
          <w:tcPr>
            <w:tcW w:w="3680" w:type="dxa"/>
            <w:gridSpan w:val="5"/>
            <w:tcBorders>
              <w:left w:val="nil"/>
              <w:right w:val="nil"/>
            </w:tcBorders>
            <w:shd w:val="clear" w:color="auto" w:fill="D9D9D9" w:themeFill="background1" w:themeFillShade="D9"/>
            <w:vAlign w:val="center"/>
          </w:tcPr>
          <w:p w:rsidR="000D7D1D" w:rsidRPr="000D7D1D" w:rsidRDefault="000D7D1D" w:rsidP="009048B8">
            <w:pPr>
              <w:jc w:val="center"/>
              <w:rPr>
                <w:rFonts w:asciiTheme="minorHAnsi" w:hAnsiTheme="minorHAnsi"/>
                <w:b/>
                <w:sz w:val="16"/>
                <w:szCs w:val="16"/>
              </w:rPr>
            </w:pPr>
            <w:proofErr w:type="spellStart"/>
            <w:r w:rsidRPr="000D7D1D">
              <w:rPr>
                <w:rFonts w:asciiTheme="minorHAnsi" w:hAnsiTheme="minorHAnsi"/>
                <w:b/>
                <w:sz w:val="16"/>
                <w:szCs w:val="16"/>
              </w:rPr>
              <w:t>Kerwin</w:t>
            </w:r>
            <w:proofErr w:type="spellEnd"/>
          </w:p>
        </w:tc>
        <w:tc>
          <w:tcPr>
            <w:tcW w:w="4545" w:type="dxa"/>
            <w:gridSpan w:val="6"/>
            <w:tcBorders>
              <w:left w:val="nil"/>
              <w:right w:val="nil"/>
            </w:tcBorders>
            <w:shd w:val="clear" w:color="auto" w:fill="D9D9D9" w:themeFill="background1" w:themeFillShade="D9"/>
            <w:vAlign w:val="center"/>
          </w:tcPr>
          <w:p w:rsidR="000D7D1D" w:rsidRPr="000D7D1D" w:rsidRDefault="000D7D1D" w:rsidP="000D7D1D">
            <w:pPr>
              <w:jc w:val="center"/>
              <w:rPr>
                <w:rFonts w:asciiTheme="minorHAnsi" w:hAnsiTheme="minorHAnsi"/>
                <w:b/>
                <w:sz w:val="16"/>
                <w:szCs w:val="16"/>
              </w:rPr>
            </w:pPr>
            <w:r w:rsidRPr="000D7D1D">
              <w:rPr>
                <w:rFonts w:asciiTheme="minorHAnsi" w:hAnsiTheme="minorHAnsi"/>
                <w:b/>
                <w:sz w:val="16"/>
                <w:szCs w:val="16"/>
              </w:rPr>
              <w:t>Martinez</w:t>
            </w:r>
          </w:p>
        </w:tc>
      </w:tr>
      <w:tr w:rsidR="00E410F4" w:rsidRPr="00F20A55" w:rsidTr="007D4755">
        <w:tc>
          <w:tcPr>
            <w:tcW w:w="1405" w:type="dxa"/>
            <w:vMerge/>
            <w:tcBorders>
              <w:left w:val="nil"/>
              <w:right w:val="nil"/>
            </w:tcBorders>
            <w:shd w:val="clear" w:color="auto" w:fill="D9D9D9" w:themeFill="background1" w:themeFillShade="D9"/>
          </w:tcPr>
          <w:p w:rsidR="000D7D1D" w:rsidRPr="00F20A55" w:rsidRDefault="000D7D1D" w:rsidP="007B26B9">
            <w:pPr>
              <w:rPr>
                <w:rFonts w:asciiTheme="minorHAnsi" w:hAnsiTheme="minorHAnsi"/>
                <w:sz w:val="16"/>
                <w:szCs w:val="16"/>
              </w:rPr>
            </w:pPr>
          </w:p>
        </w:tc>
        <w:tc>
          <w:tcPr>
            <w:tcW w:w="736" w:type="dxa"/>
            <w:tcBorders>
              <w:left w:val="nil"/>
              <w:right w:val="nil"/>
            </w:tcBorders>
            <w:shd w:val="clear" w:color="auto" w:fill="D9D9D9" w:themeFill="background1" w:themeFillShade="D9"/>
          </w:tcPr>
          <w:p w:rsidR="000D7D1D" w:rsidRPr="000D7D1D" w:rsidRDefault="000D7D1D" w:rsidP="007B26B9">
            <w:pPr>
              <w:rPr>
                <w:rFonts w:asciiTheme="minorHAnsi" w:hAnsiTheme="minorHAnsi"/>
                <w:b/>
                <w:sz w:val="16"/>
                <w:szCs w:val="16"/>
              </w:rPr>
            </w:pPr>
            <w:r w:rsidRPr="000D7D1D">
              <w:rPr>
                <w:rFonts w:asciiTheme="minorHAnsi" w:hAnsiTheme="minorHAnsi"/>
                <w:b/>
                <w:sz w:val="16"/>
                <w:szCs w:val="16"/>
              </w:rPr>
              <w:t>FF/VI 100/25</w:t>
            </w:r>
          </w:p>
        </w:tc>
        <w:tc>
          <w:tcPr>
            <w:tcW w:w="736" w:type="dxa"/>
            <w:tcBorders>
              <w:left w:val="nil"/>
              <w:right w:val="nil"/>
            </w:tcBorders>
            <w:shd w:val="clear" w:color="auto" w:fill="D9D9D9" w:themeFill="background1" w:themeFillShade="D9"/>
          </w:tcPr>
          <w:p w:rsidR="000D7D1D" w:rsidRPr="000D7D1D" w:rsidRDefault="000D7D1D" w:rsidP="007B26B9">
            <w:pPr>
              <w:rPr>
                <w:rFonts w:asciiTheme="minorHAnsi" w:hAnsiTheme="minorHAnsi"/>
                <w:b/>
                <w:sz w:val="16"/>
                <w:szCs w:val="16"/>
              </w:rPr>
            </w:pPr>
            <w:r w:rsidRPr="000D7D1D">
              <w:rPr>
                <w:rFonts w:asciiTheme="minorHAnsi" w:hAnsiTheme="minorHAnsi"/>
                <w:b/>
                <w:sz w:val="16"/>
                <w:szCs w:val="16"/>
              </w:rPr>
              <w:t>FF/VI</w:t>
            </w:r>
          </w:p>
          <w:p w:rsidR="000D7D1D" w:rsidRPr="000D7D1D" w:rsidRDefault="000D7D1D" w:rsidP="007B26B9">
            <w:pPr>
              <w:rPr>
                <w:rFonts w:asciiTheme="minorHAnsi" w:hAnsiTheme="minorHAnsi"/>
                <w:b/>
                <w:sz w:val="16"/>
                <w:szCs w:val="16"/>
              </w:rPr>
            </w:pPr>
            <w:r w:rsidRPr="000D7D1D">
              <w:rPr>
                <w:rFonts w:asciiTheme="minorHAnsi" w:hAnsiTheme="minorHAnsi"/>
                <w:b/>
                <w:sz w:val="16"/>
                <w:szCs w:val="16"/>
              </w:rPr>
              <w:t>50/25</w:t>
            </w:r>
          </w:p>
        </w:tc>
        <w:tc>
          <w:tcPr>
            <w:tcW w:w="736" w:type="dxa"/>
            <w:tcBorders>
              <w:left w:val="nil"/>
              <w:right w:val="nil"/>
            </w:tcBorders>
            <w:shd w:val="clear" w:color="auto" w:fill="D9D9D9" w:themeFill="background1" w:themeFillShade="D9"/>
            <w:vAlign w:val="center"/>
          </w:tcPr>
          <w:p w:rsidR="000D7D1D" w:rsidRPr="000D7D1D" w:rsidRDefault="000D7D1D" w:rsidP="000D7D1D">
            <w:pPr>
              <w:rPr>
                <w:rFonts w:asciiTheme="minorHAnsi" w:hAnsiTheme="minorHAnsi"/>
                <w:b/>
                <w:sz w:val="16"/>
                <w:szCs w:val="16"/>
              </w:rPr>
            </w:pPr>
            <w:r w:rsidRPr="000D7D1D">
              <w:rPr>
                <w:rFonts w:asciiTheme="minorHAnsi" w:hAnsiTheme="minorHAnsi"/>
                <w:b/>
                <w:sz w:val="16"/>
                <w:szCs w:val="16"/>
              </w:rPr>
              <w:t>FF100</w:t>
            </w:r>
          </w:p>
        </w:tc>
        <w:tc>
          <w:tcPr>
            <w:tcW w:w="736" w:type="dxa"/>
            <w:tcBorders>
              <w:left w:val="nil"/>
              <w:right w:val="nil"/>
            </w:tcBorders>
            <w:shd w:val="clear" w:color="auto" w:fill="D9D9D9" w:themeFill="background1" w:themeFillShade="D9"/>
            <w:vAlign w:val="center"/>
          </w:tcPr>
          <w:p w:rsidR="000D7D1D" w:rsidRPr="000D7D1D" w:rsidRDefault="000D7D1D" w:rsidP="000D7D1D">
            <w:pPr>
              <w:rPr>
                <w:rFonts w:asciiTheme="minorHAnsi" w:hAnsiTheme="minorHAnsi"/>
                <w:b/>
                <w:sz w:val="16"/>
                <w:szCs w:val="16"/>
              </w:rPr>
            </w:pPr>
            <w:r w:rsidRPr="000D7D1D">
              <w:rPr>
                <w:rFonts w:asciiTheme="minorHAnsi" w:hAnsiTheme="minorHAnsi"/>
                <w:b/>
                <w:sz w:val="16"/>
                <w:szCs w:val="16"/>
              </w:rPr>
              <w:t>VI25</w:t>
            </w:r>
          </w:p>
        </w:tc>
        <w:tc>
          <w:tcPr>
            <w:tcW w:w="736" w:type="dxa"/>
            <w:tcBorders>
              <w:left w:val="nil"/>
              <w:right w:val="nil"/>
            </w:tcBorders>
            <w:shd w:val="clear" w:color="auto" w:fill="D9D9D9" w:themeFill="background1" w:themeFillShade="D9"/>
            <w:vAlign w:val="center"/>
          </w:tcPr>
          <w:p w:rsidR="000D7D1D" w:rsidRPr="000D7D1D" w:rsidRDefault="000D7D1D" w:rsidP="000D7D1D">
            <w:pPr>
              <w:rPr>
                <w:rFonts w:asciiTheme="minorHAnsi" w:hAnsiTheme="minorHAnsi"/>
                <w:b/>
                <w:sz w:val="16"/>
                <w:szCs w:val="16"/>
              </w:rPr>
            </w:pPr>
            <w:r w:rsidRPr="000D7D1D">
              <w:rPr>
                <w:rFonts w:asciiTheme="minorHAnsi" w:hAnsiTheme="minorHAnsi"/>
                <w:b/>
                <w:sz w:val="16"/>
                <w:szCs w:val="16"/>
              </w:rPr>
              <w:t>PBO</w:t>
            </w:r>
          </w:p>
        </w:tc>
        <w:tc>
          <w:tcPr>
            <w:tcW w:w="757" w:type="dxa"/>
            <w:tcBorders>
              <w:left w:val="nil"/>
              <w:right w:val="nil"/>
            </w:tcBorders>
            <w:shd w:val="clear" w:color="auto" w:fill="D9D9D9" w:themeFill="background1" w:themeFillShade="D9"/>
          </w:tcPr>
          <w:p w:rsidR="000D7D1D" w:rsidRPr="000D7D1D" w:rsidRDefault="000D7D1D" w:rsidP="00215BC3">
            <w:pPr>
              <w:rPr>
                <w:rFonts w:asciiTheme="minorHAnsi" w:hAnsiTheme="minorHAnsi"/>
                <w:b/>
                <w:sz w:val="16"/>
                <w:szCs w:val="16"/>
              </w:rPr>
            </w:pPr>
            <w:r w:rsidRPr="000D7D1D">
              <w:rPr>
                <w:rFonts w:asciiTheme="minorHAnsi" w:hAnsiTheme="minorHAnsi"/>
                <w:b/>
                <w:sz w:val="16"/>
                <w:szCs w:val="16"/>
              </w:rPr>
              <w:t>FF/VI 200/25</w:t>
            </w:r>
          </w:p>
        </w:tc>
        <w:tc>
          <w:tcPr>
            <w:tcW w:w="758" w:type="dxa"/>
            <w:tcBorders>
              <w:left w:val="nil"/>
              <w:right w:val="nil"/>
            </w:tcBorders>
            <w:shd w:val="clear" w:color="auto" w:fill="D9D9D9" w:themeFill="background1" w:themeFillShade="D9"/>
          </w:tcPr>
          <w:p w:rsidR="000D7D1D" w:rsidRPr="000D7D1D" w:rsidRDefault="000D7D1D" w:rsidP="00215BC3">
            <w:pPr>
              <w:rPr>
                <w:rFonts w:asciiTheme="minorHAnsi" w:hAnsiTheme="minorHAnsi"/>
                <w:b/>
                <w:sz w:val="16"/>
                <w:szCs w:val="16"/>
              </w:rPr>
            </w:pPr>
            <w:r w:rsidRPr="000D7D1D">
              <w:rPr>
                <w:rFonts w:asciiTheme="minorHAnsi" w:hAnsiTheme="minorHAnsi"/>
                <w:b/>
                <w:sz w:val="16"/>
                <w:szCs w:val="16"/>
              </w:rPr>
              <w:t>FF/VI 100/25</w:t>
            </w:r>
          </w:p>
        </w:tc>
        <w:tc>
          <w:tcPr>
            <w:tcW w:w="757" w:type="dxa"/>
            <w:tcBorders>
              <w:left w:val="nil"/>
              <w:right w:val="nil"/>
            </w:tcBorders>
            <w:shd w:val="clear" w:color="auto" w:fill="D9D9D9" w:themeFill="background1" w:themeFillShade="D9"/>
            <w:vAlign w:val="center"/>
          </w:tcPr>
          <w:p w:rsidR="000D7D1D" w:rsidRPr="000D7D1D" w:rsidRDefault="000D7D1D" w:rsidP="000D7D1D">
            <w:pPr>
              <w:rPr>
                <w:rFonts w:asciiTheme="minorHAnsi" w:hAnsiTheme="minorHAnsi"/>
                <w:b/>
                <w:sz w:val="16"/>
                <w:szCs w:val="16"/>
              </w:rPr>
            </w:pPr>
            <w:r w:rsidRPr="000D7D1D">
              <w:rPr>
                <w:rFonts w:asciiTheme="minorHAnsi" w:hAnsiTheme="minorHAnsi"/>
                <w:b/>
                <w:sz w:val="16"/>
                <w:szCs w:val="16"/>
              </w:rPr>
              <w:t>FF100</w:t>
            </w:r>
          </w:p>
        </w:tc>
        <w:tc>
          <w:tcPr>
            <w:tcW w:w="758" w:type="dxa"/>
            <w:tcBorders>
              <w:left w:val="nil"/>
              <w:right w:val="nil"/>
            </w:tcBorders>
            <w:shd w:val="clear" w:color="auto" w:fill="D9D9D9" w:themeFill="background1" w:themeFillShade="D9"/>
            <w:vAlign w:val="center"/>
          </w:tcPr>
          <w:p w:rsidR="000D7D1D" w:rsidRPr="000D7D1D" w:rsidRDefault="000D7D1D" w:rsidP="000D7D1D">
            <w:pPr>
              <w:rPr>
                <w:rFonts w:asciiTheme="minorHAnsi" w:hAnsiTheme="minorHAnsi"/>
                <w:b/>
                <w:sz w:val="16"/>
                <w:szCs w:val="16"/>
              </w:rPr>
            </w:pPr>
            <w:r w:rsidRPr="000D7D1D">
              <w:rPr>
                <w:rFonts w:asciiTheme="minorHAnsi" w:hAnsiTheme="minorHAnsi"/>
                <w:b/>
                <w:sz w:val="16"/>
                <w:szCs w:val="16"/>
              </w:rPr>
              <w:t>FF200</w:t>
            </w:r>
          </w:p>
        </w:tc>
        <w:tc>
          <w:tcPr>
            <w:tcW w:w="757" w:type="dxa"/>
            <w:tcBorders>
              <w:left w:val="nil"/>
              <w:right w:val="nil"/>
            </w:tcBorders>
            <w:shd w:val="clear" w:color="auto" w:fill="D9D9D9" w:themeFill="background1" w:themeFillShade="D9"/>
            <w:vAlign w:val="center"/>
          </w:tcPr>
          <w:p w:rsidR="000D7D1D" w:rsidRPr="000D7D1D" w:rsidRDefault="000D7D1D" w:rsidP="000D7D1D">
            <w:pPr>
              <w:rPr>
                <w:rFonts w:asciiTheme="minorHAnsi" w:hAnsiTheme="minorHAnsi"/>
                <w:b/>
                <w:sz w:val="16"/>
                <w:szCs w:val="16"/>
              </w:rPr>
            </w:pPr>
            <w:r w:rsidRPr="000D7D1D">
              <w:rPr>
                <w:rFonts w:asciiTheme="minorHAnsi" w:hAnsiTheme="minorHAnsi"/>
                <w:b/>
                <w:sz w:val="16"/>
                <w:szCs w:val="16"/>
              </w:rPr>
              <w:t>VI25</w:t>
            </w:r>
          </w:p>
        </w:tc>
        <w:tc>
          <w:tcPr>
            <w:tcW w:w="758" w:type="dxa"/>
            <w:tcBorders>
              <w:left w:val="nil"/>
              <w:right w:val="nil"/>
            </w:tcBorders>
            <w:shd w:val="clear" w:color="auto" w:fill="D9D9D9" w:themeFill="background1" w:themeFillShade="D9"/>
            <w:vAlign w:val="center"/>
          </w:tcPr>
          <w:p w:rsidR="000D7D1D" w:rsidRPr="000D7D1D" w:rsidRDefault="000D7D1D" w:rsidP="000D7D1D">
            <w:pPr>
              <w:rPr>
                <w:rFonts w:asciiTheme="minorHAnsi" w:hAnsiTheme="minorHAnsi"/>
                <w:b/>
                <w:sz w:val="16"/>
                <w:szCs w:val="16"/>
              </w:rPr>
            </w:pPr>
            <w:r w:rsidRPr="000D7D1D">
              <w:rPr>
                <w:rFonts w:asciiTheme="minorHAnsi" w:hAnsiTheme="minorHAnsi"/>
                <w:b/>
                <w:sz w:val="16"/>
                <w:szCs w:val="16"/>
              </w:rPr>
              <w:t>PBO</w:t>
            </w:r>
          </w:p>
        </w:tc>
      </w:tr>
      <w:tr w:rsidR="00EC3A23" w:rsidRPr="00F20A55" w:rsidTr="007D4755">
        <w:tc>
          <w:tcPr>
            <w:tcW w:w="1405" w:type="dxa"/>
            <w:tcBorders>
              <w:left w:val="nil"/>
              <w:right w:val="nil"/>
            </w:tcBorders>
          </w:tcPr>
          <w:p w:rsidR="00B03B4E" w:rsidRDefault="00EC3A23" w:rsidP="007B26B9">
            <w:pPr>
              <w:rPr>
                <w:rFonts w:asciiTheme="minorHAnsi" w:hAnsiTheme="minorHAnsi"/>
                <w:sz w:val="16"/>
                <w:szCs w:val="16"/>
              </w:rPr>
            </w:pPr>
            <w:r>
              <w:rPr>
                <w:rFonts w:asciiTheme="minorHAnsi" w:hAnsiTheme="minorHAnsi"/>
                <w:sz w:val="16"/>
                <w:szCs w:val="16"/>
              </w:rPr>
              <w:t xml:space="preserve">Pts. with </w:t>
            </w:r>
            <w:r>
              <w:rPr>
                <w:rFonts w:ascii="Calibri" w:hAnsi="Calibri"/>
                <w:sz w:val="16"/>
                <w:szCs w:val="16"/>
              </w:rPr>
              <w:t>≥</w:t>
            </w:r>
            <w:r>
              <w:rPr>
                <w:rFonts w:asciiTheme="minorHAnsi" w:hAnsiTheme="minorHAnsi"/>
                <w:sz w:val="16"/>
                <w:szCs w:val="16"/>
              </w:rPr>
              <w:t xml:space="preserve"> 1 exacerbation</w:t>
            </w:r>
            <w:r w:rsidR="00B03B4E">
              <w:rPr>
                <w:rFonts w:asciiTheme="minorHAnsi" w:hAnsiTheme="minorHAnsi"/>
                <w:sz w:val="16"/>
                <w:szCs w:val="16"/>
              </w:rPr>
              <w:t xml:space="preserve"> </w:t>
            </w:r>
          </w:p>
          <w:p w:rsidR="00EC3A23" w:rsidRPr="00F20A55" w:rsidRDefault="00B03B4E" w:rsidP="007B26B9">
            <w:pPr>
              <w:rPr>
                <w:rFonts w:asciiTheme="minorHAnsi" w:hAnsiTheme="minorHAnsi"/>
                <w:sz w:val="16"/>
                <w:szCs w:val="16"/>
              </w:rPr>
            </w:pPr>
            <w:proofErr w:type="gramStart"/>
            <w:r>
              <w:rPr>
                <w:rFonts w:asciiTheme="minorHAnsi" w:hAnsiTheme="minorHAnsi"/>
                <w:sz w:val="16"/>
                <w:szCs w:val="16"/>
              </w:rPr>
              <w:t>n</w:t>
            </w:r>
            <w:proofErr w:type="gramEnd"/>
            <w:r>
              <w:rPr>
                <w:rFonts w:asciiTheme="minorHAnsi" w:hAnsiTheme="minorHAnsi"/>
                <w:sz w:val="16"/>
                <w:szCs w:val="16"/>
              </w:rPr>
              <w:t xml:space="preserve"> (%)</w:t>
            </w:r>
          </w:p>
        </w:tc>
        <w:tc>
          <w:tcPr>
            <w:tcW w:w="736" w:type="dxa"/>
            <w:tcBorders>
              <w:left w:val="nil"/>
              <w:right w:val="nil"/>
            </w:tcBorders>
            <w:vAlign w:val="center"/>
          </w:tcPr>
          <w:p w:rsidR="00EC3A23" w:rsidRPr="00F20A55" w:rsidRDefault="00EC3A23" w:rsidP="000D7D1D">
            <w:pPr>
              <w:rPr>
                <w:rFonts w:asciiTheme="minorHAnsi" w:hAnsiTheme="minorHAnsi"/>
                <w:sz w:val="16"/>
                <w:szCs w:val="16"/>
              </w:rPr>
            </w:pPr>
            <w:r>
              <w:rPr>
                <w:rFonts w:asciiTheme="minorHAnsi" w:hAnsiTheme="minorHAnsi"/>
                <w:sz w:val="16"/>
                <w:szCs w:val="16"/>
              </w:rPr>
              <w:t>18 (9)</w:t>
            </w:r>
          </w:p>
        </w:tc>
        <w:tc>
          <w:tcPr>
            <w:tcW w:w="736" w:type="dxa"/>
            <w:tcBorders>
              <w:left w:val="nil"/>
              <w:right w:val="nil"/>
            </w:tcBorders>
            <w:vAlign w:val="center"/>
          </w:tcPr>
          <w:p w:rsidR="00EC3A23" w:rsidRPr="00F20A55" w:rsidRDefault="00EC3A23" w:rsidP="000D7D1D">
            <w:pPr>
              <w:rPr>
                <w:rFonts w:asciiTheme="minorHAnsi" w:hAnsiTheme="minorHAnsi"/>
                <w:sz w:val="16"/>
                <w:szCs w:val="16"/>
              </w:rPr>
            </w:pPr>
            <w:r>
              <w:rPr>
                <w:rFonts w:asciiTheme="minorHAnsi" w:hAnsiTheme="minorHAnsi"/>
                <w:sz w:val="16"/>
                <w:szCs w:val="16"/>
              </w:rPr>
              <w:t>12 (6)</w:t>
            </w:r>
          </w:p>
        </w:tc>
        <w:tc>
          <w:tcPr>
            <w:tcW w:w="736" w:type="dxa"/>
            <w:tcBorders>
              <w:left w:val="nil"/>
              <w:right w:val="nil"/>
            </w:tcBorders>
            <w:vAlign w:val="center"/>
          </w:tcPr>
          <w:p w:rsidR="00EC3A23" w:rsidRPr="00F20A55" w:rsidRDefault="00EC3A23" w:rsidP="000D7D1D">
            <w:pPr>
              <w:rPr>
                <w:rFonts w:asciiTheme="minorHAnsi" w:hAnsiTheme="minorHAnsi"/>
                <w:sz w:val="16"/>
                <w:szCs w:val="16"/>
              </w:rPr>
            </w:pPr>
            <w:r>
              <w:rPr>
                <w:rFonts w:asciiTheme="minorHAnsi" w:hAnsiTheme="minorHAnsi"/>
                <w:sz w:val="16"/>
                <w:szCs w:val="16"/>
              </w:rPr>
              <w:t>26 (13)</w:t>
            </w:r>
          </w:p>
        </w:tc>
        <w:tc>
          <w:tcPr>
            <w:tcW w:w="736" w:type="dxa"/>
            <w:tcBorders>
              <w:left w:val="nil"/>
              <w:right w:val="nil"/>
            </w:tcBorders>
            <w:vAlign w:val="center"/>
          </w:tcPr>
          <w:p w:rsidR="00EC3A23" w:rsidRPr="00F20A55" w:rsidRDefault="00EC3A23" w:rsidP="000D7D1D">
            <w:pPr>
              <w:rPr>
                <w:rFonts w:asciiTheme="minorHAnsi" w:hAnsiTheme="minorHAnsi"/>
                <w:sz w:val="16"/>
                <w:szCs w:val="16"/>
              </w:rPr>
            </w:pPr>
            <w:r>
              <w:rPr>
                <w:rFonts w:asciiTheme="minorHAnsi" w:hAnsiTheme="minorHAnsi"/>
                <w:sz w:val="16"/>
                <w:szCs w:val="16"/>
              </w:rPr>
              <w:t>22 (11)</w:t>
            </w:r>
          </w:p>
        </w:tc>
        <w:tc>
          <w:tcPr>
            <w:tcW w:w="736" w:type="dxa"/>
            <w:tcBorders>
              <w:left w:val="nil"/>
              <w:right w:val="nil"/>
            </w:tcBorders>
            <w:vAlign w:val="center"/>
          </w:tcPr>
          <w:p w:rsidR="00EC3A23" w:rsidRPr="00F20A55" w:rsidRDefault="00EC3A23" w:rsidP="000D7D1D">
            <w:pPr>
              <w:rPr>
                <w:rFonts w:asciiTheme="minorHAnsi" w:hAnsiTheme="minorHAnsi"/>
                <w:sz w:val="16"/>
                <w:szCs w:val="16"/>
              </w:rPr>
            </w:pPr>
            <w:r>
              <w:rPr>
                <w:rFonts w:asciiTheme="minorHAnsi" w:hAnsiTheme="minorHAnsi"/>
                <w:sz w:val="16"/>
                <w:szCs w:val="16"/>
              </w:rPr>
              <w:t>21 (10)</w:t>
            </w:r>
          </w:p>
        </w:tc>
        <w:tc>
          <w:tcPr>
            <w:tcW w:w="757" w:type="dxa"/>
            <w:tcBorders>
              <w:left w:val="nil"/>
              <w:right w:val="nil"/>
            </w:tcBorders>
            <w:vAlign w:val="center"/>
          </w:tcPr>
          <w:p w:rsidR="00EC3A23" w:rsidRPr="00F20A55" w:rsidRDefault="000D7D1D" w:rsidP="000D7D1D">
            <w:pPr>
              <w:rPr>
                <w:rFonts w:asciiTheme="minorHAnsi" w:hAnsiTheme="minorHAnsi"/>
                <w:sz w:val="16"/>
                <w:szCs w:val="16"/>
              </w:rPr>
            </w:pPr>
            <w:r>
              <w:rPr>
                <w:rFonts w:asciiTheme="minorHAnsi" w:hAnsiTheme="minorHAnsi"/>
                <w:sz w:val="16"/>
                <w:szCs w:val="16"/>
              </w:rPr>
              <w:t>14 (7)</w:t>
            </w:r>
          </w:p>
        </w:tc>
        <w:tc>
          <w:tcPr>
            <w:tcW w:w="758" w:type="dxa"/>
            <w:tcBorders>
              <w:left w:val="nil"/>
              <w:right w:val="nil"/>
            </w:tcBorders>
            <w:vAlign w:val="center"/>
          </w:tcPr>
          <w:p w:rsidR="00EC3A23" w:rsidRPr="00F20A55" w:rsidRDefault="000D7D1D" w:rsidP="000D7D1D">
            <w:pPr>
              <w:rPr>
                <w:rFonts w:asciiTheme="minorHAnsi" w:hAnsiTheme="minorHAnsi"/>
                <w:sz w:val="16"/>
                <w:szCs w:val="16"/>
              </w:rPr>
            </w:pPr>
            <w:r>
              <w:rPr>
                <w:rFonts w:asciiTheme="minorHAnsi" w:hAnsiTheme="minorHAnsi"/>
                <w:sz w:val="16"/>
                <w:szCs w:val="16"/>
              </w:rPr>
              <w:t>13 (6)</w:t>
            </w:r>
          </w:p>
        </w:tc>
        <w:tc>
          <w:tcPr>
            <w:tcW w:w="757" w:type="dxa"/>
            <w:tcBorders>
              <w:left w:val="nil"/>
              <w:right w:val="nil"/>
            </w:tcBorders>
            <w:vAlign w:val="center"/>
          </w:tcPr>
          <w:p w:rsidR="00EC3A23" w:rsidRPr="00F20A55" w:rsidRDefault="000D7D1D" w:rsidP="000D7D1D">
            <w:pPr>
              <w:rPr>
                <w:rFonts w:asciiTheme="minorHAnsi" w:hAnsiTheme="minorHAnsi"/>
                <w:sz w:val="16"/>
                <w:szCs w:val="16"/>
              </w:rPr>
            </w:pPr>
            <w:r>
              <w:rPr>
                <w:rFonts w:asciiTheme="minorHAnsi" w:hAnsiTheme="minorHAnsi"/>
                <w:sz w:val="16"/>
                <w:szCs w:val="16"/>
              </w:rPr>
              <w:t>4 (2)</w:t>
            </w:r>
          </w:p>
        </w:tc>
        <w:tc>
          <w:tcPr>
            <w:tcW w:w="758" w:type="dxa"/>
            <w:tcBorders>
              <w:left w:val="nil"/>
              <w:right w:val="nil"/>
            </w:tcBorders>
            <w:vAlign w:val="center"/>
          </w:tcPr>
          <w:p w:rsidR="00EC3A23" w:rsidRPr="00F20A55" w:rsidRDefault="000D7D1D" w:rsidP="000D7D1D">
            <w:pPr>
              <w:rPr>
                <w:rFonts w:asciiTheme="minorHAnsi" w:hAnsiTheme="minorHAnsi"/>
                <w:sz w:val="16"/>
                <w:szCs w:val="16"/>
              </w:rPr>
            </w:pPr>
            <w:r>
              <w:rPr>
                <w:rFonts w:asciiTheme="minorHAnsi" w:hAnsiTheme="minorHAnsi"/>
                <w:sz w:val="16"/>
                <w:szCs w:val="16"/>
              </w:rPr>
              <w:t>10 (5)</w:t>
            </w:r>
          </w:p>
        </w:tc>
        <w:tc>
          <w:tcPr>
            <w:tcW w:w="757" w:type="dxa"/>
            <w:tcBorders>
              <w:left w:val="nil"/>
              <w:right w:val="nil"/>
            </w:tcBorders>
            <w:vAlign w:val="center"/>
          </w:tcPr>
          <w:p w:rsidR="00EC3A23" w:rsidRPr="00F20A55" w:rsidRDefault="000D7D1D" w:rsidP="000D7D1D">
            <w:pPr>
              <w:rPr>
                <w:rFonts w:asciiTheme="minorHAnsi" w:hAnsiTheme="minorHAnsi"/>
                <w:sz w:val="16"/>
                <w:szCs w:val="16"/>
              </w:rPr>
            </w:pPr>
            <w:r>
              <w:rPr>
                <w:rFonts w:asciiTheme="minorHAnsi" w:hAnsiTheme="minorHAnsi"/>
                <w:sz w:val="16"/>
                <w:szCs w:val="16"/>
              </w:rPr>
              <w:t>18 (9)</w:t>
            </w:r>
          </w:p>
        </w:tc>
        <w:tc>
          <w:tcPr>
            <w:tcW w:w="758" w:type="dxa"/>
            <w:tcBorders>
              <w:left w:val="nil"/>
              <w:right w:val="nil"/>
            </w:tcBorders>
            <w:vAlign w:val="center"/>
          </w:tcPr>
          <w:p w:rsidR="00EC3A23" w:rsidRPr="00F20A55" w:rsidRDefault="000D7D1D" w:rsidP="000D7D1D">
            <w:pPr>
              <w:rPr>
                <w:rFonts w:asciiTheme="minorHAnsi" w:hAnsiTheme="minorHAnsi"/>
                <w:sz w:val="16"/>
                <w:szCs w:val="16"/>
              </w:rPr>
            </w:pPr>
            <w:r>
              <w:rPr>
                <w:rFonts w:asciiTheme="minorHAnsi" w:hAnsiTheme="minorHAnsi"/>
                <w:sz w:val="16"/>
                <w:szCs w:val="16"/>
              </w:rPr>
              <w:t>21 (10)</w:t>
            </w:r>
          </w:p>
        </w:tc>
      </w:tr>
      <w:tr w:rsidR="00EC3A23" w:rsidRPr="00F20A55" w:rsidTr="007D4755">
        <w:tc>
          <w:tcPr>
            <w:tcW w:w="1405" w:type="dxa"/>
            <w:tcBorders>
              <w:left w:val="nil"/>
              <w:right w:val="nil"/>
            </w:tcBorders>
          </w:tcPr>
          <w:p w:rsidR="00EC3A23" w:rsidRPr="007D4755" w:rsidRDefault="00EC3A23" w:rsidP="009048B8">
            <w:pPr>
              <w:rPr>
                <w:rFonts w:asciiTheme="minorHAnsi" w:hAnsiTheme="minorHAnsi"/>
                <w:b/>
                <w:sz w:val="16"/>
                <w:szCs w:val="16"/>
                <w:u w:val="single"/>
              </w:rPr>
            </w:pPr>
            <w:r w:rsidRPr="007D4755">
              <w:rPr>
                <w:rFonts w:asciiTheme="minorHAnsi" w:hAnsiTheme="minorHAnsi"/>
                <w:b/>
                <w:sz w:val="16"/>
                <w:szCs w:val="16"/>
                <w:u w:val="single"/>
              </w:rPr>
              <w:t>Exacerbation (n):</w:t>
            </w:r>
          </w:p>
          <w:p w:rsidR="00EC3A23" w:rsidRDefault="00EC3A23" w:rsidP="009048B8">
            <w:pPr>
              <w:rPr>
                <w:rFonts w:asciiTheme="minorHAnsi" w:hAnsiTheme="minorHAnsi"/>
                <w:sz w:val="16"/>
                <w:szCs w:val="16"/>
              </w:rPr>
            </w:pPr>
            <w:r>
              <w:rPr>
                <w:rFonts w:asciiTheme="minorHAnsi" w:hAnsiTheme="minorHAnsi"/>
                <w:sz w:val="16"/>
                <w:szCs w:val="16"/>
              </w:rPr>
              <w:t>Moderate</w:t>
            </w:r>
          </w:p>
          <w:p w:rsidR="00EC3A23" w:rsidRPr="00F20A55" w:rsidRDefault="00EC3A23" w:rsidP="009048B8">
            <w:pPr>
              <w:rPr>
                <w:rFonts w:asciiTheme="minorHAnsi" w:hAnsiTheme="minorHAnsi"/>
                <w:sz w:val="16"/>
                <w:szCs w:val="16"/>
              </w:rPr>
            </w:pPr>
            <w:r>
              <w:rPr>
                <w:rFonts w:asciiTheme="minorHAnsi" w:hAnsiTheme="minorHAnsi"/>
                <w:sz w:val="16"/>
                <w:szCs w:val="16"/>
              </w:rPr>
              <w:t xml:space="preserve">Severe </w:t>
            </w:r>
          </w:p>
        </w:tc>
        <w:tc>
          <w:tcPr>
            <w:tcW w:w="736" w:type="dxa"/>
            <w:tcBorders>
              <w:left w:val="nil"/>
              <w:right w:val="nil"/>
            </w:tcBorders>
            <w:vAlign w:val="bottom"/>
          </w:tcPr>
          <w:p w:rsidR="00EC3A23" w:rsidRDefault="00EC3A23" w:rsidP="000D7D1D">
            <w:pPr>
              <w:jc w:val="center"/>
              <w:rPr>
                <w:rFonts w:asciiTheme="minorHAnsi" w:hAnsiTheme="minorHAnsi"/>
                <w:sz w:val="16"/>
                <w:szCs w:val="16"/>
              </w:rPr>
            </w:pPr>
            <w:r>
              <w:rPr>
                <w:rFonts w:asciiTheme="minorHAnsi" w:hAnsiTheme="minorHAnsi"/>
                <w:sz w:val="16"/>
                <w:szCs w:val="16"/>
              </w:rPr>
              <w:t>15</w:t>
            </w:r>
          </w:p>
          <w:p w:rsidR="00EC3A23" w:rsidRPr="00F20A55" w:rsidRDefault="00EC3A23" w:rsidP="000D7D1D">
            <w:pPr>
              <w:jc w:val="center"/>
              <w:rPr>
                <w:rFonts w:asciiTheme="minorHAnsi" w:hAnsiTheme="minorHAnsi"/>
                <w:sz w:val="16"/>
                <w:szCs w:val="16"/>
              </w:rPr>
            </w:pPr>
            <w:r>
              <w:rPr>
                <w:rFonts w:asciiTheme="minorHAnsi" w:hAnsiTheme="minorHAnsi"/>
                <w:sz w:val="16"/>
                <w:szCs w:val="16"/>
              </w:rPr>
              <w:t>4</w:t>
            </w:r>
          </w:p>
        </w:tc>
        <w:tc>
          <w:tcPr>
            <w:tcW w:w="736" w:type="dxa"/>
            <w:tcBorders>
              <w:left w:val="nil"/>
              <w:right w:val="nil"/>
            </w:tcBorders>
            <w:vAlign w:val="bottom"/>
          </w:tcPr>
          <w:p w:rsidR="00EC3A23" w:rsidRDefault="00EC3A23" w:rsidP="000D7D1D">
            <w:pPr>
              <w:jc w:val="center"/>
              <w:rPr>
                <w:rFonts w:asciiTheme="minorHAnsi" w:hAnsiTheme="minorHAnsi"/>
                <w:sz w:val="16"/>
                <w:szCs w:val="16"/>
              </w:rPr>
            </w:pPr>
            <w:r>
              <w:rPr>
                <w:rFonts w:asciiTheme="minorHAnsi" w:hAnsiTheme="minorHAnsi"/>
                <w:sz w:val="16"/>
                <w:szCs w:val="16"/>
              </w:rPr>
              <w:t>12</w:t>
            </w:r>
          </w:p>
          <w:p w:rsidR="00EC3A23" w:rsidRPr="00F20A55" w:rsidRDefault="00EC3A23" w:rsidP="000D7D1D">
            <w:pPr>
              <w:jc w:val="center"/>
              <w:rPr>
                <w:rFonts w:asciiTheme="minorHAnsi" w:hAnsiTheme="minorHAnsi"/>
                <w:sz w:val="16"/>
                <w:szCs w:val="16"/>
              </w:rPr>
            </w:pPr>
            <w:r>
              <w:rPr>
                <w:rFonts w:asciiTheme="minorHAnsi" w:hAnsiTheme="minorHAnsi"/>
                <w:sz w:val="16"/>
                <w:szCs w:val="16"/>
              </w:rPr>
              <w:t>0</w:t>
            </w:r>
          </w:p>
        </w:tc>
        <w:tc>
          <w:tcPr>
            <w:tcW w:w="736" w:type="dxa"/>
            <w:tcBorders>
              <w:left w:val="nil"/>
              <w:right w:val="nil"/>
            </w:tcBorders>
            <w:vAlign w:val="bottom"/>
          </w:tcPr>
          <w:p w:rsidR="00EC3A23" w:rsidRDefault="00EC3A23" w:rsidP="000D7D1D">
            <w:pPr>
              <w:jc w:val="center"/>
              <w:rPr>
                <w:rFonts w:asciiTheme="minorHAnsi" w:hAnsiTheme="minorHAnsi"/>
                <w:sz w:val="16"/>
                <w:szCs w:val="16"/>
              </w:rPr>
            </w:pPr>
            <w:r>
              <w:rPr>
                <w:rFonts w:asciiTheme="minorHAnsi" w:hAnsiTheme="minorHAnsi"/>
                <w:sz w:val="16"/>
                <w:szCs w:val="16"/>
              </w:rPr>
              <w:t>23</w:t>
            </w:r>
          </w:p>
          <w:p w:rsidR="00EC3A23" w:rsidRPr="00F20A55" w:rsidRDefault="00EC3A23" w:rsidP="000D7D1D">
            <w:pPr>
              <w:jc w:val="center"/>
              <w:rPr>
                <w:rFonts w:asciiTheme="minorHAnsi" w:hAnsiTheme="minorHAnsi"/>
                <w:sz w:val="16"/>
                <w:szCs w:val="16"/>
              </w:rPr>
            </w:pPr>
            <w:r>
              <w:rPr>
                <w:rFonts w:asciiTheme="minorHAnsi" w:hAnsiTheme="minorHAnsi"/>
                <w:sz w:val="16"/>
                <w:szCs w:val="16"/>
              </w:rPr>
              <w:t>3</w:t>
            </w:r>
          </w:p>
        </w:tc>
        <w:tc>
          <w:tcPr>
            <w:tcW w:w="736" w:type="dxa"/>
            <w:tcBorders>
              <w:left w:val="nil"/>
              <w:right w:val="nil"/>
            </w:tcBorders>
            <w:vAlign w:val="bottom"/>
          </w:tcPr>
          <w:p w:rsidR="00EC3A23" w:rsidRDefault="00EC3A23" w:rsidP="000D7D1D">
            <w:pPr>
              <w:jc w:val="center"/>
              <w:rPr>
                <w:rFonts w:asciiTheme="minorHAnsi" w:hAnsiTheme="minorHAnsi"/>
                <w:sz w:val="16"/>
                <w:szCs w:val="16"/>
              </w:rPr>
            </w:pPr>
            <w:r>
              <w:rPr>
                <w:rFonts w:asciiTheme="minorHAnsi" w:hAnsiTheme="minorHAnsi"/>
                <w:sz w:val="16"/>
                <w:szCs w:val="16"/>
              </w:rPr>
              <w:t>15</w:t>
            </w:r>
          </w:p>
          <w:p w:rsidR="00EC3A23" w:rsidRPr="00F20A55" w:rsidRDefault="00EC3A23" w:rsidP="000D7D1D">
            <w:pPr>
              <w:jc w:val="center"/>
              <w:rPr>
                <w:rFonts w:asciiTheme="minorHAnsi" w:hAnsiTheme="minorHAnsi"/>
                <w:sz w:val="16"/>
                <w:szCs w:val="16"/>
              </w:rPr>
            </w:pPr>
            <w:r>
              <w:rPr>
                <w:rFonts w:asciiTheme="minorHAnsi" w:hAnsiTheme="minorHAnsi"/>
                <w:sz w:val="16"/>
                <w:szCs w:val="16"/>
              </w:rPr>
              <w:t>7</w:t>
            </w:r>
          </w:p>
        </w:tc>
        <w:tc>
          <w:tcPr>
            <w:tcW w:w="736" w:type="dxa"/>
            <w:tcBorders>
              <w:left w:val="nil"/>
              <w:right w:val="nil"/>
            </w:tcBorders>
            <w:vAlign w:val="bottom"/>
          </w:tcPr>
          <w:p w:rsidR="00EC3A23" w:rsidRDefault="00EC3A23" w:rsidP="000D7D1D">
            <w:pPr>
              <w:jc w:val="center"/>
              <w:rPr>
                <w:rFonts w:asciiTheme="minorHAnsi" w:hAnsiTheme="minorHAnsi"/>
                <w:sz w:val="16"/>
                <w:szCs w:val="16"/>
              </w:rPr>
            </w:pPr>
            <w:r>
              <w:rPr>
                <w:rFonts w:asciiTheme="minorHAnsi" w:hAnsiTheme="minorHAnsi"/>
                <w:sz w:val="16"/>
                <w:szCs w:val="16"/>
              </w:rPr>
              <w:t>18</w:t>
            </w:r>
          </w:p>
          <w:p w:rsidR="00EC3A23" w:rsidRPr="00F20A55" w:rsidRDefault="00EC3A23" w:rsidP="000D7D1D">
            <w:pPr>
              <w:jc w:val="center"/>
              <w:rPr>
                <w:rFonts w:asciiTheme="minorHAnsi" w:hAnsiTheme="minorHAnsi"/>
                <w:sz w:val="16"/>
                <w:szCs w:val="16"/>
              </w:rPr>
            </w:pPr>
            <w:r>
              <w:rPr>
                <w:rFonts w:asciiTheme="minorHAnsi" w:hAnsiTheme="minorHAnsi"/>
                <w:sz w:val="16"/>
                <w:szCs w:val="16"/>
              </w:rPr>
              <w:t>3</w:t>
            </w:r>
          </w:p>
        </w:tc>
        <w:tc>
          <w:tcPr>
            <w:tcW w:w="757" w:type="dxa"/>
            <w:tcBorders>
              <w:left w:val="nil"/>
              <w:right w:val="nil"/>
            </w:tcBorders>
            <w:vAlign w:val="bottom"/>
          </w:tcPr>
          <w:p w:rsidR="00EC3A23" w:rsidRDefault="000D7D1D" w:rsidP="000D7D1D">
            <w:pPr>
              <w:jc w:val="center"/>
              <w:rPr>
                <w:rFonts w:asciiTheme="minorHAnsi" w:hAnsiTheme="minorHAnsi"/>
                <w:sz w:val="16"/>
                <w:szCs w:val="16"/>
              </w:rPr>
            </w:pPr>
            <w:r>
              <w:rPr>
                <w:rFonts w:asciiTheme="minorHAnsi" w:hAnsiTheme="minorHAnsi"/>
                <w:sz w:val="16"/>
                <w:szCs w:val="16"/>
              </w:rPr>
              <w:t>8</w:t>
            </w:r>
          </w:p>
          <w:p w:rsidR="000D7D1D" w:rsidRPr="00F20A55" w:rsidRDefault="000D7D1D" w:rsidP="000D7D1D">
            <w:pPr>
              <w:jc w:val="center"/>
              <w:rPr>
                <w:rFonts w:asciiTheme="minorHAnsi" w:hAnsiTheme="minorHAnsi"/>
                <w:sz w:val="16"/>
                <w:szCs w:val="16"/>
              </w:rPr>
            </w:pPr>
            <w:r>
              <w:rPr>
                <w:rFonts w:asciiTheme="minorHAnsi" w:hAnsiTheme="minorHAnsi"/>
                <w:sz w:val="16"/>
                <w:szCs w:val="16"/>
              </w:rPr>
              <w:t>6</w:t>
            </w:r>
          </w:p>
        </w:tc>
        <w:tc>
          <w:tcPr>
            <w:tcW w:w="758" w:type="dxa"/>
            <w:tcBorders>
              <w:left w:val="nil"/>
              <w:right w:val="nil"/>
            </w:tcBorders>
            <w:vAlign w:val="bottom"/>
          </w:tcPr>
          <w:p w:rsidR="00EC3A23" w:rsidRDefault="000D7D1D" w:rsidP="000D7D1D">
            <w:pPr>
              <w:jc w:val="center"/>
              <w:rPr>
                <w:rFonts w:asciiTheme="minorHAnsi" w:hAnsiTheme="minorHAnsi"/>
                <w:sz w:val="16"/>
                <w:szCs w:val="16"/>
              </w:rPr>
            </w:pPr>
            <w:r>
              <w:rPr>
                <w:rFonts w:asciiTheme="minorHAnsi" w:hAnsiTheme="minorHAnsi"/>
                <w:sz w:val="16"/>
                <w:szCs w:val="16"/>
              </w:rPr>
              <w:t>8</w:t>
            </w:r>
          </w:p>
          <w:p w:rsidR="000D7D1D" w:rsidRPr="00F20A55" w:rsidRDefault="000D7D1D" w:rsidP="000D7D1D">
            <w:pPr>
              <w:jc w:val="center"/>
              <w:rPr>
                <w:rFonts w:asciiTheme="minorHAnsi" w:hAnsiTheme="minorHAnsi"/>
                <w:sz w:val="16"/>
                <w:szCs w:val="16"/>
              </w:rPr>
            </w:pPr>
            <w:r>
              <w:rPr>
                <w:rFonts w:asciiTheme="minorHAnsi" w:hAnsiTheme="minorHAnsi"/>
                <w:sz w:val="16"/>
                <w:szCs w:val="16"/>
              </w:rPr>
              <w:t>5</w:t>
            </w:r>
          </w:p>
        </w:tc>
        <w:tc>
          <w:tcPr>
            <w:tcW w:w="757" w:type="dxa"/>
            <w:tcBorders>
              <w:left w:val="nil"/>
              <w:right w:val="nil"/>
            </w:tcBorders>
            <w:vAlign w:val="bottom"/>
          </w:tcPr>
          <w:p w:rsidR="00EC3A23" w:rsidRDefault="000D7D1D" w:rsidP="000D7D1D">
            <w:pPr>
              <w:jc w:val="center"/>
              <w:rPr>
                <w:rFonts w:asciiTheme="minorHAnsi" w:hAnsiTheme="minorHAnsi"/>
                <w:sz w:val="16"/>
                <w:szCs w:val="16"/>
              </w:rPr>
            </w:pPr>
            <w:r>
              <w:rPr>
                <w:rFonts w:asciiTheme="minorHAnsi" w:hAnsiTheme="minorHAnsi"/>
                <w:sz w:val="16"/>
                <w:szCs w:val="16"/>
              </w:rPr>
              <w:t>4</w:t>
            </w:r>
          </w:p>
          <w:p w:rsidR="000D7D1D" w:rsidRPr="00F20A55" w:rsidRDefault="000D7D1D" w:rsidP="000D7D1D">
            <w:pPr>
              <w:jc w:val="center"/>
              <w:rPr>
                <w:rFonts w:asciiTheme="minorHAnsi" w:hAnsiTheme="minorHAnsi"/>
                <w:sz w:val="16"/>
                <w:szCs w:val="16"/>
              </w:rPr>
            </w:pPr>
            <w:r>
              <w:rPr>
                <w:rFonts w:asciiTheme="minorHAnsi" w:hAnsiTheme="minorHAnsi"/>
                <w:sz w:val="16"/>
                <w:szCs w:val="16"/>
              </w:rPr>
              <w:t>0</w:t>
            </w:r>
          </w:p>
        </w:tc>
        <w:tc>
          <w:tcPr>
            <w:tcW w:w="758" w:type="dxa"/>
            <w:tcBorders>
              <w:left w:val="nil"/>
              <w:right w:val="nil"/>
            </w:tcBorders>
            <w:vAlign w:val="bottom"/>
          </w:tcPr>
          <w:p w:rsidR="00EC3A23" w:rsidRDefault="000D7D1D" w:rsidP="000D7D1D">
            <w:pPr>
              <w:jc w:val="center"/>
              <w:rPr>
                <w:rFonts w:asciiTheme="minorHAnsi" w:hAnsiTheme="minorHAnsi"/>
                <w:sz w:val="16"/>
                <w:szCs w:val="16"/>
              </w:rPr>
            </w:pPr>
            <w:r>
              <w:rPr>
                <w:rFonts w:asciiTheme="minorHAnsi" w:hAnsiTheme="minorHAnsi"/>
                <w:sz w:val="16"/>
                <w:szCs w:val="16"/>
              </w:rPr>
              <w:t>7</w:t>
            </w:r>
          </w:p>
          <w:p w:rsidR="000D7D1D" w:rsidRPr="00F20A55" w:rsidRDefault="000D7D1D" w:rsidP="000D7D1D">
            <w:pPr>
              <w:jc w:val="center"/>
              <w:rPr>
                <w:rFonts w:asciiTheme="minorHAnsi" w:hAnsiTheme="minorHAnsi"/>
                <w:sz w:val="16"/>
                <w:szCs w:val="16"/>
              </w:rPr>
            </w:pPr>
            <w:r>
              <w:rPr>
                <w:rFonts w:asciiTheme="minorHAnsi" w:hAnsiTheme="minorHAnsi"/>
                <w:sz w:val="16"/>
                <w:szCs w:val="16"/>
              </w:rPr>
              <w:t>3</w:t>
            </w:r>
          </w:p>
        </w:tc>
        <w:tc>
          <w:tcPr>
            <w:tcW w:w="757" w:type="dxa"/>
            <w:tcBorders>
              <w:left w:val="nil"/>
              <w:right w:val="nil"/>
            </w:tcBorders>
            <w:vAlign w:val="bottom"/>
          </w:tcPr>
          <w:p w:rsidR="00EC3A23" w:rsidRDefault="000D7D1D" w:rsidP="000D7D1D">
            <w:pPr>
              <w:jc w:val="center"/>
              <w:rPr>
                <w:rFonts w:asciiTheme="minorHAnsi" w:hAnsiTheme="minorHAnsi"/>
                <w:sz w:val="16"/>
                <w:szCs w:val="16"/>
              </w:rPr>
            </w:pPr>
            <w:r>
              <w:rPr>
                <w:rFonts w:asciiTheme="minorHAnsi" w:hAnsiTheme="minorHAnsi"/>
                <w:sz w:val="16"/>
                <w:szCs w:val="16"/>
              </w:rPr>
              <w:t>11</w:t>
            </w:r>
          </w:p>
          <w:p w:rsidR="000D7D1D" w:rsidRPr="00F20A55" w:rsidRDefault="000D7D1D" w:rsidP="000D7D1D">
            <w:pPr>
              <w:jc w:val="center"/>
              <w:rPr>
                <w:rFonts w:asciiTheme="minorHAnsi" w:hAnsiTheme="minorHAnsi"/>
                <w:sz w:val="16"/>
                <w:szCs w:val="16"/>
              </w:rPr>
            </w:pPr>
            <w:r>
              <w:rPr>
                <w:rFonts w:asciiTheme="minorHAnsi" w:hAnsiTheme="minorHAnsi"/>
                <w:sz w:val="16"/>
                <w:szCs w:val="16"/>
              </w:rPr>
              <w:t>7</w:t>
            </w:r>
          </w:p>
        </w:tc>
        <w:tc>
          <w:tcPr>
            <w:tcW w:w="758" w:type="dxa"/>
            <w:tcBorders>
              <w:left w:val="nil"/>
              <w:right w:val="nil"/>
            </w:tcBorders>
            <w:vAlign w:val="bottom"/>
          </w:tcPr>
          <w:p w:rsidR="00EC3A23" w:rsidRDefault="000D7D1D" w:rsidP="000D7D1D">
            <w:pPr>
              <w:jc w:val="center"/>
              <w:rPr>
                <w:rFonts w:asciiTheme="minorHAnsi" w:hAnsiTheme="minorHAnsi"/>
                <w:sz w:val="16"/>
                <w:szCs w:val="16"/>
              </w:rPr>
            </w:pPr>
            <w:r>
              <w:rPr>
                <w:rFonts w:asciiTheme="minorHAnsi" w:hAnsiTheme="minorHAnsi"/>
                <w:sz w:val="16"/>
                <w:szCs w:val="16"/>
              </w:rPr>
              <w:t>15</w:t>
            </w:r>
          </w:p>
          <w:p w:rsidR="000D7D1D" w:rsidRPr="00F20A55" w:rsidRDefault="000D7D1D" w:rsidP="000D7D1D">
            <w:pPr>
              <w:jc w:val="center"/>
              <w:rPr>
                <w:rFonts w:asciiTheme="minorHAnsi" w:hAnsiTheme="minorHAnsi"/>
                <w:sz w:val="16"/>
                <w:szCs w:val="16"/>
              </w:rPr>
            </w:pPr>
            <w:r>
              <w:rPr>
                <w:rFonts w:asciiTheme="minorHAnsi" w:hAnsiTheme="minorHAnsi"/>
                <w:sz w:val="16"/>
                <w:szCs w:val="16"/>
              </w:rPr>
              <w:t>6</w:t>
            </w:r>
          </w:p>
        </w:tc>
      </w:tr>
      <w:tr w:rsidR="00EC3A23" w:rsidRPr="00F20A55" w:rsidTr="007D4755">
        <w:tc>
          <w:tcPr>
            <w:tcW w:w="1405" w:type="dxa"/>
            <w:tcBorders>
              <w:left w:val="nil"/>
              <w:right w:val="nil"/>
            </w:tcBorders>
          </w:tcPr>
          <w:p w:rsidR="00EC3A23" w:rsidRPr="009048B8" w:rsidRDefault="00EC3A23" w:rsidP="007B26B9">
            <w:pPr>
              <w:rPr>
                <w:rFonts w:asciiTheme="minorHAnsi" w:hAnsiTheme="minorHAnsi"/>
                <w:b/>
                <w:sz w:val="16"/>
                <w:szCs w:val="16"/>
                <w:u w:val="single"/>
              </w:rPr>
            </w:pPr>
            <w:r w:rsidRPr="009048B8">
              <w:rPr>
                <w:rFonts w:asciiTheme="minorHAnsi" w:hAnsiTheme="minorHAnsi"/>
                <w:b/>
                <w:sz w:val="16"/>
                <w:szCs w:val="16"/>
                <w:u w:val="single"/>
              </w:rPr>
              <w:t>Outcome</w:t>
            </w:r>
            <w:r w:rsidR="00B03B4E">
              <w:rPr>
                <w:rFonts w:asciiTheme="minorHAnsi" w:hAnsiTheme="minorHAnsi"/>
                <w:b/>
                <w:sz w:val="16"/>
                <w:szCs w:val="16"/>
                <w:u w:val="single"/>
              </w:rPr>
              <w:t xml:space="preserve"> (n)</w:t>
            </w:r>
          </w:p>
          <w:p w:rsidR="00EC3A23" w:rsidRDefault="00EC3A23" w:rsidP="007B26B9">
            <w:pPr>
              <w:rPr>
                <w:rFonts w:asciiTheme="minorHAnsi" w:hAnsiTheme="minorHAnsi"/>
                <w:sz w:val="16"/>
                <w:szCs w:val="16"/>
              </w:rPr>
            </w:pPr>
            <w:r>
              <w:rPr>
                <w:rFonts w:asciiTheme="minorHAnsi" w:hAnsiTheme="minorHAnsi"/>
                <w:sz w:val="16"/>
                <w:szCs w:val="16"/>
              </w:rPr>
              <w:t>Resolved</w:t>
            </w:r>
          </w:p>
          <w:p w:rsidR="00EC3A23" w:rsidRDefault="00EC3A23" w:rsidP="007B26B9">
            <w:pPr>
              <w:rPr>
                <w:rFonts w:asciiTheme="minorHAnsi" w:hAnsiTheme="minorHAnsi"/>
                <w:sz w:val="16"/>
                <w:szCs w:val="16"/>
              </w:rPr>
            </w:pPr>
            <w:r>
              <w:rPr>
                <w:rFonts w:asciiTheme="minorHAnsi" w:hAnsiTheme="minorHAnsi"/>
                <w:sz w:val="16"/>
                <w:szCs w:val="16"/>
              </w:rPr>
              <w:t>Fatal</w:t>
            </w:r>
          </w:p>
          <w:p w:rsidR="00EC3A23" w:rsidRDefault="00EC3A23" w:rsidP="007B26B9">
            <w:pPr>
              <w:rPr>
                <w:rFonts w:asciiTheme="minorHAnsi" w:hAnsiTheme="minorHAnsi"/>
                <w:sz w:val="16"/>
                <w:szCs w:val="16"/>
              </w:rPr>
            </w:pPr>
            <w:r>
              <w:rPr>
                <w:rFonts w:asciiTheme="minorHAnsi" w:hAnsiTheme="minorHAnsi"/>
                <w:sz w:val="16"/>
                <w:szCs w:val="16"/>
              </w:rPr>
              <w:t>Not resolved at d/c from study</w:t>
            </w:r>
          </w:p>
        </w:tc>
        <w:tc>
          <w:tcPr>
            <w:tcW w:w="736" w:type="dxa"/>
            <w:tcBorders>
              <w:left w:val="nil"/>
              <w:right w:val="nil"/>
            </w:tcBorders>
            <w:vAlign w:val="bottom"/>
          </w:tcPr>
          <w:p w:rsidR="00EC3A23" w:rsidRDefault="00141315" w:rsidP="00141315">
            <w:pPr>
              <w:jc w:val="center"/>
              <w:rPr>
                <w:rFonts w:asciiTheme="minorHAnsi" w:hAnsiTheme="minorHAnsi"/>
                <w:sz w:val="16"/>
                <w:szCs w:val="16"/>
              </w:rPr>
            </w:pPr>
            <w:r>
              <w:rPr>
                <w:rFonts w:asciiTheme="minorHAnsi" w:hAnsiTheme="minorHAnsi"/>
                <w:sz w:val="16"/>
                <w:szCs w:val="16"/>
              </w:rPr>
              <w:t>19</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Pr="00F20A55" w:rsidRDefault="00141315" w:rsidP="00141315">
            <w:pPr>
              <w:jc w:val="center"/>
              <w:rPr>
                <w:rFonts w:asciiTheme="minorHAnsi" w:hAnsiTheme="minorHAnsi"/>
                <w:sz w:val="16"/>
                <w:szCs w:val="16"/>
              </w:rPr>
            </w:pPr>
          </w:p>
        </w:tc>
        <w:tc>
          <w:tcPr>
            <w:tcW w:w="736" w:type="dxa"/>
            <w:tcBorders>
              <w:left w:val="nil"/>
              <w:right w:val="nil"/>
            </w:tcBorders>
            <w:vAlign w:val="bottom"/>
          </w:tcPr>
          <w:p w:rsidR="00EC3A23" w:rsidRDefault="00141315" w:rsidP="00141315">
            <w:pPr>
              <w:jc w:val="center"/>
              <w:rPr>
                <w:rFonts w:asciiTheme="minorHAnsi" w:hAnsiTheme="minorHAnsi"/>
                <w:sz w:val="16"/>
                <w:szCs w:val="16"/>
              </w:rPr>
            </w:pPr>
            <w:r>
              <w:rPr>
                <w:rFonts w:asciiTheme="minorHAnsi" w:hAnsiTheme="minorHAnsi"/>
                <w:sz w:val="16"/>
                <w:szCs w:val="16"/>
              </w:rPr>
              <w:t>10</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Default="00141315" w:rsidP="00141315">
            <w:pPr>
              <w:jc w:val="center"/>
              <w:rPr>
                <w:rFonts w:asciiTheme="minorHAnsi" w:hAnsiTheme="minorHAnsi"/>
                <w:sz w:val="16"/>
                <w:szCs w:val="16"/>
              </w:rPr>
            </w:pPr>
            <w:r>
              <w:rPr>
                <w:rFonts w:asciiTheme="minorHAnsi" w:hAnsiTheme="minorHAnsi"/>
                <w:sz w:val="16"/>
                <w:szCs w:val="16"/>
              </w:rPr>
              <w:t>2</w:t>
            </w:r>
          </w:p>
          <w:p w:rsidR="00141315" w:rsidRPr="00F20A55" w:rsidRDefault="00141315" w:rsidP="00141315">
            <w:pPr>
              <w:jc w:val="center"/>
              <w:rPr>
                <w:rFonts w:asciiTheme="minorHAnsi" w:hAnsiTheme="minorHAnsi"/>
                <w:sz w:val="16"/>
                <w:szCs w:val="16"/>
              </w:rPr>
            </w:pPr>
          </w:p>
        </w:tc>
        <w:tc>
          <w:tcPr>
            <w:tcW w:w="736" w:type="dxa"/>
            <w:tcBorders>
              <w:left w:val="nil"/>
              <w:right w:val="nil"/>
            </w:tcBorders>
            <w:vAlign w:val="bottom"/>
          </w:tcPr>
          <w:p w:rsidR="00EC3A23" w:rsidRDefault="00141315" w:rsidP="00141315">
            <w:pPr>
              <w:jc w:val="center"/>
              <w:rPr>
                <w:rFonts w:asciiTheme="minorHAnsi" w:hAnsiTheme="minorHAnsi"/>
                <w:sz w:val="16"/>
                <w:szCs w:val="16"/>
              </w:rPr>
            </w:pPr>
            <w:r>
              <w:rPr>
                <w:rFonts w:asciiTheme="minorHAnsi" w:hAnsiTheme="minorHAnsi"/>
                <w:sz w:val="16"/>
                <w:szCs w:val="16"/>
              </w:rPr>
              <w:t>25</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Default="00141315" w:rsidP="00141315">
            <w:pPr>
              <w:jc w:val="center"/>
              <w:rPr>
                <w:rFonts w:asciiTheme="minorHAnsi" w:hAnsiTheme="minorHAnsi"/>
                <w:sz w:val="16"/>
                <w:szCs w:val="16"/>
              </w:rPr>
            </w:pPr>
            <w:r>
              <w:rPr>
                <w:rFonts w:asciiTheme="minorHAnsi" w:hAnsiTheme="minorHAnsi"/>
                <w:sz w:val="16"/>
                <w:szCs w:val="16"/>
              </w:rPr>
              <w:t>1</w:t>
            </w:r>
          </w:p>
          <w:p w:rsidR="00141315" w:rsidRPr="00F20A55" w:rsidRDefault="00141315" w:rsidP="00141315">
            <w:pPr>
              <w:jc w:val="center"/>
              <w:rPr>
                <w:rFonts w:asciiTheme="minorHAnsi" w:hAnsiTheme="minorHAnsi"/>
                <w:sz w:val="16"/>
                <w:szCs w:val="16"/>
              </w:rPr>
            </w:pPr>
          </w:p>
        </w:tc>
        <w:tc>
          <w:tcPr>
            <w:tcW w:w="736" w:type="dxa"/>
            <w:tcBorders>
              <w:left w:val="nil"/>
              <w:right w:val="nil"/>
            </w:tcBorders>
            <w:vAlign w:val="bottom"/>
          </w:tcPr>
          <w:p w:rsidR="00EC3A23" w:rsidRDefault="00141315" w:rsidP="00141315">
            <w:pPr>
              <w:jc w:val="center"/>
              <w:rPr>
                <w:rFonts w:asciiTheme="minorHAnsi" w:hAnsiTheme="minorHAnsi"/>
                <w:sz w:val="16"/>
                <w:szCs w:val="16"/>
              </w:rPr>
            </w:pPr>
            <w:r>
              <w:rPr>
                <w:rFonts w:asciiTheme="minorHAnsi" w:hAnsiTheme="minorHAnsi"/>
                <w:sz w:val="16"/>
                <w:szCs w:val="16"/>
              </w:rPr>
              <w:t>21</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Default="00141315" w:rsidP="00141315">
            <w:pPr>
              <w:jc w:val="center"/>
              <w:rPr>
                <w:rFonts w:asciiTheme="minorHAnsi" w:hAnsiTheme="minorHAnsi"/>
                <w:sz w:val="16"/>
                <w:szCs w:val="16"/>
              </w:rPr>
            </w:pPr>
            <w:r>
              <w:rPr>
                <w:rFonts w:asciiTheme="minorHAnsi" w:hAnsiTheme="minorHAnsi"/>
                <w:sz w:val="16"/>
                <w:szCs w:val="16"/>
              </w:rPr>
              <w:t>1</w:t>
            </w:r>
          </w:p>
          <w:p w:rsidR="00141315" w:rsidRPr="00F20A55" w:rsidRDefault="00141315" w:rsidP="00141315">
            <w:pPr>
              <w:jc w:val="center"/>
              <w:rPr>
                <w:rFonts w:asciiTheme="minorHAnsi" w:hAnsiTheme="minorHAnsi"/>
                <w:sz w:val="16"/>
                <w:szCs w:val="16"/>
              </w:rPr>
            </w:pPr>
          </w:p>
        </w:tc>
        <w:tc>
          <w:tcPr>
            <w:tcW w:w="736" w:type="dxa"/>
            <w:tcBorders>
              <w:left w:val="nil"/>
              <w:right w:val="nil"/>
            </w:tcBorders>
            <w:vAlign w:val="bottom"/>
          </w:tcPr>
          <w:p w:rsidR="00EC3A23" w:rsidRDefault="00141315" w:rsidP="00141315">
            <w:pPr>
              <w:jc w:val="center"/>
              <w:rPr>
                <w:rFonts w:asciiTheme="minorHAnsi" w:hAnsiTheme="minorHAnsi"/>
                <w:sz w:val="16"/>
                <w:szCs w:val="16"/>
              </w:rPr>
            </w:pPr>
            <w:r>
              <w:rPr>
                <w:rFonts w:asciiTheme="minorHAnsi" w:hAnsiTheme="minorHAnsi"/>
                <w:sz w:val="16"/>
                <w:szCs w:val="16"/>
              </w:rPr>
              <w:t>21</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Pr="00F20A55" w:rsidRDefault="00141315" w:rsidP="00141315">
            <w:pPr>
              <w:jc w:val="center"/>
              <w:rPr>
                <w:rFonts w:asciiTheme="minorHAnsi" w:hAnsiTheme="minorHAnsi"/>
                <w:sz w:val="16"/>
                <w:szCs w:val="16"/>
              </w:rPr>
            </w:pPr>
          </w:p>
        </w:tc>
        <w:tc>
          <w:tcPr>
            <w:tcW w:w="757" w:type="dxa"/>
            <w:tcBorders>
              <w:left w:val="nil"/>
              <w:right w:val="nil"/>
            </w:tcBorders>
            <w:vAlign w:val="bottom"/>
          </w:tcPr>
          <w:p w:rsidR="00EC3A23" w:rsidRDefault="00141315" w:rsidP="00141315">
            <w:pPr>
              <w:jc w:val="center"/>
              <w:rPr>
                <w:rFonts w:asciiTheme="minorHAnsi" w:hAnsiTheme="minorHAnsi"/>
                <w:sz w:val="16"/>
                <w:szCs w:val="16"/>
              </w:rPr>
            </w:pPr>
            <w:r>
              <w:rPr>
                <w:rFonts w:asciiTheme="minorHAnsi" w:hAnsiTheme="minorHAnsi"/>
                <w:sz w:val="16"/>
                <w:szCs w:val="16"/>
              </w:rPr>
              <w:t>13</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Default="00141315" w:rsidP="00141315">
            <w:pPr>
              <w:jc w:val="center"/>
              <w:rPr>
                <w:rFonts w:asciiTheme="minorHAnsi" w:hAnsiTheme="minorHAnsi"/>
                <w:sz w:val="16"/>
                <w:szCs w:val="16"/>
              </w:rPr>
            </w:pPr>
            <w:r>
              <w:rPr>
                <w:rFonts w:asciiTheme="minorHAnsi" w:hAnsiTheme="minorHAnsi"/>
                <w:sz w:val="16"/>
                <w:szCs w:val="16"/>
              </w:rPr>
              <w:t>1</w:t>
            </w:r>
          </w:p>
          <w:p w:rsidR="00141315" w:rsidRPr="00F20A55" w:rsidRDefault="00141315" w:rsidP="00141315">
            <w:pPr>
              <w:jc w:val="center"/>
              <w:rPr>
                <w:rFonts w:asciiTheme="minorHAnsi" w:hAnsiTheme="minorHAnsi"/>
                <w:sz w:val="16"/>
                <w:szCs w:val="16"/>
              </w:rPr>
            </w:pPr>
          </w:p>
        </w:tc>
        <w:tc>
          <w:tcPr>
            <w:tcW w:w="758" w:type="dxa"/>
            <w:tcBorders>
              <w:left w:val="nil"/>
              <w:right w:val="nil"/>
            </w:tcBorders>
            <w:vAlign w:val="bottom"/>
          </w:tcPr>
          <w:p w:rsidR="00EC3A23" w:rsidRDefault="00141315" w:rsidP="00141315">
            <w:pPr>
              <w:jc w:val="center"/>
              <w:rPr>
                <w:rFonts w:asciiTheme="minorHAnsi" w:hAnsiTheme="minorHAnsi"/>
                <w:sz w:val="16"/>
                <w:szCs w:val="16"/>
              </w:rPr>
            </w:pPr>
            <w:r>
              <w:rPr>
                <w:rFonts w:asciiTheme="minorHAnsi" w:hAnsiTheme="minorHAnsi"/>
                <w:sz w:val="16"/>
                <w:szCs w:val="16"/>
              </w:rPr>
              <w:t>12</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Default="00141315" w:rsidP="00141315">
            <w:pPr>
              <w:jc w:val="center"/>
              <w:rPr>
                <w:rFonts w:asciiTheme="minorHAnsi" w:hAnsiTheme="minorHAnsi"/>
                <w:sz w:val="16"/>
                <w:szCs w:val="16"/>
              </w:rPr>
            </w:pPr>
            <w:r>
              <w:rPr>
                <w:rFonts w:asciiTheme="minorHAnsi" w:hAnsiTheme="minorHAnsi"/>
                <w:sz w:val="16"/>
                <w:szCs w:val="16"/>
              </w:rPr>
              <w:t>1</w:t>
            </w:r>
          </w:p>
          <w:p w:rsidR="00141315" w:rsidRPr="00F20A55" w:rsidRDefault="00141315" w:rsidP="00141315">
            <w:pPr>
              <w:jc w:val="center"/>
              <w:rPr>
                <w:rFonts w:asciiTheme="minorHAnsi" w:hAnsiTheme="minorHAnsi"/>
                <w:sz w:val="16"/>
                <w:szCs w:val="16"/>
              </w:rPr>
            </w:pPr>
          </w:p>
        </w:tc>
        <w:tc>
          <w:tcPr>
            <w:tcW w:w="757" w:type="dxa"/>
            <w:tcBorders>
              <w:left w:val="nil"/>
              <w:right w:val="nil"/>
            </w:tcBorders>
            <w:vAlign w:val="bottom"/>
          </w:tcPr>
          <w:p w:rsidR="00EC3A23" w:rsidRDefault="00141315" w:rsidP="00141315">
            <w:pPr>
              <w:jc w:val="center"/>
              <w:rPr>
                <w:rFonts w:asciiTheme="minorHAnsi" w:hAnsiTheme="minorHAnsi"/>
                <w:sz w:val="16"/>
                <w:szCs w:val="16"/>
              </w:rPr>
            </w:pPr>
            <w:r>
              <w:rPr>
                <w:rFonts w:asciiTheme="minorHAnsi" w:hAnsiTheme="minorHAnsi"/>
                <w:sz w:val="16"/>
                <w:szCs w:val="16"/>
              </w:rPr>
              <w:t>4</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Pr="00F20A55" w:rsidRDefault="00141315" w:rsidP="00141315">
            <w:pPr>
              <w:jc w:val="center"/>
              <w:rPr>
                <w:rFonts w:asciiTheme="minorHAnsi" w:hAnsiTheme="minorHAnsi"/>
                <w:sz w:val="16"/>
                <w:szCs w:val="16"/>
              </w:rPr>
            </w:pPr>
          </w:p>
        </w:tc>
        <w:tc>
          <w:tcPr>
            <w:tcW w:w="758" w:type="dxa"/>
            <w:tcBorders>
              <w:left w:val="nil"/>
              <w:right w:val="nil"/>
            </w:tcBorders>
            <w:vAlign w:val="bottom"/>
          </w:tcPr>
          <w:p w:rsidR="00141315" w:rsidRDefault="00141315" w:rsidP="00141315">
            <w:pPr>
              <w:jc w:val="center"/>
              <w:rPr>
                <w:rFonts w:asciiTheme="minorHAnsi" w:hAnsiTheme="minorHAnsi"/>
                <w:sz w:val="16"/>
                <w:szCs w:val="16"/>
              </w:rPr>
            </w:pPr>
            <w:r>
              <w:rPr>
                <w:rFonts w:asciiTheme="minorHAnsi" w:hAnsiTheme="minorHAnsi"/>
                <w:sz w:val="16"/>
                <w:szCs w:val="16"/>
              </w:rPr>
              <w:t>10</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EC3A23" w:rsidRDefault="00141315" w:rsidP="00141315">
            <w:pPr>
              <w:jc w:val="center"/>
              <w:rPr>
                <w:rFonts w:asciiTheme="minorHAnsi" w:hAnsiTheme="minorHAnsi"/>
                <w:sz w:val="16"/>
                <w:szCs w:val="16"/>
              </w:rPr>
            </w:pPr>
            <w:r>
              <w:rPr>
                <w:rFonts w:asciiTheme="minorHAnsi" w:hAnsiTheme="minorHAnsi"/>
                <w:sz w:val="16"/>
                <w:szCs w:val="16"/>
              </w:rPr>
              <w:t>0</w:t>
            </w:r>
          </w:p>
          <w:p w:rsidR="00141315" w:rsidRPr="00F20A55" w:rsidRDefault="00141315" w:rsidP="00141315">
            <w:pPr>
              <w:jc w:val="center"/>
              <w:rPr>
                <w:rFonts w:asciiTheme="minorHAnsi" w:hAnsiTheme="minorHAnsi"/>
                <w:sz w:val="16"/>
                <w:szCs w:val="16"/>
              </w:rPr>
            </w:pPr>
          </w:p>
        </w:tc>
        <w:tc>
          <w:tcPr>
            <w:tcW w:w="757" w:type="dxa"/>
            <w:tcBorders>
              <w:left w:val="nil"/>
              <w:right w:val="nil"/>
            </w:tcBorders>
            <w:vAlign w:val="bottom"/>
          </w:tcPr>
          <w:p w:rsidR="00EC3A23" w:rsidRDefault="00141315" w:rsidP="00141315">
            <w:pPr>
              <w:jc w:val="center"/>
              <w:rPr>
                <w:rFonts w:asciiTheme="minorHAnsi" w:hAnsiTheme="minorHAnsi"/>
                <w:sz w:val="16"/>
                <w:szCs w:val="16"/>
              </w:rPr>
            </w:pPr>
            <w:r>
              <w:rPr>
                <w:rFonts w:asciiTheme="minorHAnsi" w:hAnsiTheme="minorHAnsi"/>
                <w:sz w:val="16"/>
                <w:szCs w:val="16"/>
              </w:rPr>
              <w:t>18</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Pr="00F20A55" w:rsidRDefault="00141315" w:rsidP="00141315">
            <w:pPr>
              <w:jc w:val="center"/>
              <w:rPr>
                <w:rFonts w:asciiTheme="minorHAnsi" w:hAnsiTheme="minorHAnsi"/>
                <w:sz w:val="16"/>
                <w:szCs w:val="16"/>
              </w:rPr>
            </w:pPr>
          </w:p>
        </w:tc>
        <w:tc>
          <w:tcPr>
            <w:tcW w:w="758" w:type="dxa"/>
            <w:tcBorders>
              <w:left w:val="nil"/>
              <w:right w:val="nil"/>
            </w:tcBorders>
            <w:vAlign w:val="bottom"/>
          </w:tcPr>
          <w:p w:rsidR="00EC3A23" w:rsidRDefault="00141315" w:rsidP="00141315">
            <w:pPr>
              <w:jc w:val="center"/>
              <w:rPr>
                <w:rFonts w:asciiTheme="minorHAnsi" w:hAnsiTheme="minorHAnsi"/>
                <w:sz w:val="16"/>
                <w:szCs w:val="16"/>
              </w:rPr>
            </w:pPr>
            <w:r>
              <w:rPr>
                <w:rFonts w:asciiTheme="minorHAnsi" w:hAnsiTheme="minorHAnsi"/>
                <w:sz w:val="16"/>
                <w:szCs w:val="16"/>
              </w:rPr>
              <w:t>20</w:t>
            </w:r>
          </w:p>
          <w:p w:rsidR="00141315" w:rsidRDefault="00141315" w:rsidP="00141315">
            <w:pPr>
              <w:jc w:val="center"/>
              <w:rPr>
                <w:rFonts w:asciiTheme="minorHAnsi" w:hAnsiTheme="minorHAnsi"/>
                <w:sz w:val="16"/>
                <w:szCs w:val="16"/>
              </w:rPr>
            </w:pPr>
            <w:r>
              <w:rPr>
                <w:rFonts w:asciiTheme="minorHAnsi" w:hAnsiTheme="minorHAnsi"/>
                <w:sz w:val="16"/>
                <w:szCs w:val="16"/>
              </w:rPr>
              <w:t>0</w:t>
            </w:r>
          </w:p>
          <w:p w:rsidR="00141315" w:rsidRDefault="00141315" w:rsidP="00141315">
            <w:pPr>
              <w:jc w:val="center"/>
              <w:rPr>
                <w:rFonts w:asciiTheme="minorHAnsi" w:hAnsiTheme="minorHAnsi"/>
                <w:sz w:val="16"/>
                <w:szCs w:val="16"/>
              </w:rPr>
            </w:pPr>
            <w:r>
              <w:rPr>
                <w:rFonts w:asciiTheme="minorHAnsi" w:hAnsiTheme="minorHAnsi"/>
                <w:sz w:val="16"/>
                <w:szCs w:val="16"/>
              </w:rPr>
              <w:t>1</w:t>
            </w:r>
          </w:p>
          <w:p w:rsidR="00141315" w:rsidRPr="00F20A55" w:rsidRDefault="00141315" w:rsidP="00141315">
            <w:pPr>
              <w:jc w:val="center"/>
              <w:rPr>
                <w:rFonts w:asciiTheme="minorHAnsi" w:hAnsiTheme="minorHAnsi"/>
                <w:sz w:val="16"/>
                <w:szCs w:val="16"/>
              </w:rPr>
            </w:pPr>
          </w:p>
        </w:tc>
      </w:tr>
    </w:tbl>
    <w:p w:rsidR="00F20A55" w:rsidRPr="00F20A55" w:rsidRDefault="00F20A55" w:rsidP="007B26B9">
      <w:pPr>
        <w:ind w:left="-270" w:firstLine="270"/>
        <w:rPr>
          <w:sz w:val="20"/>
          <w:szCs w:val="20"/>
        </w:rPr>
      </w:pPr>
    </w:p>
    <w:p w:rsidR="00511D5E" w:rsidRDefault="00511D5E" w:rsidP="00745B44">
      <w:pPr>
        <w:rPr>
          <w:i/>
          <w:sz w:val="20"/>
          <w:szCs w:val="20"/>
          <w:u w:val="single"/>
        </w:rPr>
      </w:pPr>
    </w:p>
    <w:p w:rsidR="00745B44" w:rsidRPr="00745B44" w:rsidRDefault="00745B44" w:rsidP="00745B44">
      <w:pPr>
        <w:rPr>
          <w:i/>
          <w:sz w:val="20"/>
          <w:szCs w:val="20"/>
          <w:u w:val="single"/>
        </w:rPr>
      </w:pPr>
      <w:r w:rsidRPr="00745B44">
        <w:rPr>
          <w:i/>
          <w:sz w:val="20"/>
          <w:szCs w:val="20"/>
          <w:u w:val="single"/>
        </w:rPr>
        <w:t>Long-term Trials</w:t>
      </w:r>
    </w:p>
    <w:p w:rsidR="00745B44" w:rsidRDefault="008D29E0" w:rsidP="00745B44">
      <w:pPr>
        <w:pStyle w:val="NoSpacing"/>
        <w:rPr>
          <w:rFonts w:eastAsiaTheme="minorHAnsi"/>
          <w:sz w:val="20"/>
          <w:szCs w:val="20"/>
        </w:rPr>
      </w:pPr>
      <w:r>
        <w:rPr>
          <w:rFonts w:eastAsiaTheme="minorHAnsi"/>
          <w:sz w:val="20"/>
          <w:szCs w:val="20"/>
        </w:rPr>
        <w:t>The SUMMIT trial is a</w:t>
      </w:r>
      <w:r w:rsidR="00561FF3">
        <w:rPr>
          <w:rFonts w:eastAsiaTheme="minorHAnsi"/>
          <w:sz w:val="20"/>
          <w:szCs w:val="20"/>
        </w:rPr>
        <w:t xml:space="preserve"> long-term randomized, placebo-controlled trial </w:t>
      </w:r>
      <w:r>
        <w:rPr>
          <w:rFonts w:eastAsiaTheme="minorHAnsi"/>
          <w:sz w:val="20"/>
          <w:szCs w:val="20"/>
        </w:rPr>
        <w:t>that will</w:t>
      </w:r>
      <w:r w:rsidR="00561FF3">
        <w:rPr>
          <w:rFonts w:eastAsiaTheme="minorHAnsi"/>
          <w:sz w:val="20"/>
          <w:szCs w:val="20"/>
        </w:rPr>
        <w:t xml:space="preserve"> evaluate the impact of FF/VI (100/25mcg) and the individual components on survival in patients with moderate COPD (n=16,000) who have either a history of CVD or are at increased risk for CVD.  The primary outcome is mortality; secondary outcomes include FEV1 and effect on a composite CV end-point.</w:t>
      </w:r>
      <w:r w:rsidR="0022137D">
        <w:rPr>
          <w:rFonts w:eastAsiaTheme="minorHAnsi"/>
          <w:sz w:val="20"/>
          <w:szCs w:val="20"/>
        </w:rPr>
        <w:t xml:space="preserve">  The estimated study completion date is July 2015. </w:t>
      </w:r>
    </w:p>
    <w:p w:rsidR="00561FF3" w:rsidRDefault="00561FF3" w:rsidP="00745B44">
      <w:pPr>
        <w:pStyle w:val="NoSpacing"/>
        <w:rPr>
          <w:rFonts w:eastAsiaTheme="minorHAnsi"/>
          <w:sz w:val="20"/>
          <w:szCs w:val="20"/>
        </w:rPr>
      </w:pPr>
    </w:p>
    <w:p w:rsidR="000A3F76" w:rsidRPr="006F09CA" w:rsidRDefault="00E35D19" w:rsidP="00775839">
      <w:pPr>
        <w:ind w:left="-270"/>
        <w:rPr>
          <w:b/>
          <w:sz w:val="22"/>
          <w:szCs w:val="22"/>
          <w:u w:val="single"/>
        </w:rPr>
      </w:pPr>
      <w:r>
        <w:rPr>
          <w:sz w:val="20"/>
          <w:szCs w:val="20"/>
        </w:rPr>
        <w:tab/>
      </w:r>
      <w:r w:rsidR="000A3F76" w:rsidRPr="006F09CA">
        <w:rPr>
          <w:b/>
          <w:sz w:val="22"/>
          <w:szCs w:val="22"/>
          <w:u w:val="single"/>
        </w:rPr>
        <w:t>Adverse Events (Safety Data)</w:t>
      </w:r>
    </w:p>
    <w:p w:rsidR="007A2A73" w:rsidRPr="00A75644" w:rsidRDefault="007D7AFF" w:rsidP="00E63CCB">
      <w:pPr>
        <w:rPr>
          <w:sz w:val="20"/>
          <w:szCs w:val="20"/>
        </w:rPr>
      </w:pPr>
      <w:r w:rsidRPr="00A75644">
        <w:rPr>
          <w:sz w:val="20"/>
          <w:szCs w:val="20"/>
        </w:rPr>
        <w:t xml:space="preserve">For the approved dose </w:t>
      </w:r>
      <w:r w:rsidR="00232F2D" w:rsidRPr="00A75644">
        <w:rPr>
          <w:sz w:val="20"/>
          <w:szCs w:val="20"/>
        </w:rPr>
        <w:t xml:space="preserve">in the 6-month trials, 9% of patients discontinued the trial due to an AE and 6% had a serious AE.  The incidence in the 1-year trials was 8% and 15% respectively.  Two patients </w:t>
      </w:r>
      <w:r w:rsidR="004F04E1" w:rsidRPr="00A75644">
        <w:rPr>
          <w:sz w:val="20"/>
          <w:szCs w:val="20"/>
        </w:rPr>
        <w:t>in the 6-month trials and 10</w:t>
      </w:r>
      <w:r w:rsidR="00232F2D" w:rsidRPr="00A75644">
        <w:rPr>
          <w:sz w:val="20"/>
          <w:szCs w:val="20"/>
        </w:rPr>
        <w:t xml:space="preserve"> patients in the 1-year trials had an on or post-treatment fatal SAE.  </w:t>
      </w:r>
      <w:r w:rsidR="008B105E" w:rsidRPr="00A75644">
        <w:rPr>
          <w:sz w:val="20"/>
          <w:szCs w:val="20"/>
        </w:rPr>
        <w:t xml:space="preserve">Incidences reported for </w:t>
      </w:r>
      <w:r w:rsidR="00A75644" w:rsidRPr="00A75644">
        <w:rPr>
          <w:sz w:val="20"/>
          <w:szCs w:val="20"/>
        </w:rPr>
        <w:t xml:space="preserve">all </w:t>
      </w:r>
      <w:r w:rsidR="008B105E" w:rsidRPr="00A75644">
        <w:rPr>
          <w:sz w:val="20"/>
          <w:szCs w:val="20"/>
        </w:rPr>
        <w:t>treatment arms are</w:t>
      </w:r>
      <w:r w:rsidR="00232F2D" w:rsidRPr="00A75644">
        <w:rPr>
          <w:sz w:val="20"/>
          <w:szCs w:val="20"/>
        </w:rPr>
        <w:t xml:space="preserve"> shown in </w:t>
      </w:r>
      <w:r w:rsidR="00232F2D" w:rsidRPr="00A75644">
        <w:rPr>
          <w:b/>
          <w:sz w:val="20"/>
          <w:szCs w:val="20"/>
          <w:u w:val="single"/>
        </w:rPr>
        <w:t xml:space="preserve">Table </w:t>
      </w:r>
      <w:r w:rsidR="00970B3D" w:rsidRPr="00A75644">
        <w:rPr>
          <w:b/>
          <w:sz w:val="20"/>
          <w:szCs w:val="20"/>
          <w:u w:val="single"/>
        </w:rPr>
        <w:t>7</w:t>
      </w:r>
      <w:r w:rsidR="00232F2D" w:rsidRPr="00A75644">
        <w:rPr>
          <w:b/>
          <w:sz w:val="20"/>
          <w:szCs w:val="20"/>
          <w:u w:val="single"/>
        </w:rPr>
        <w:t>.</w:t>
      </w:r>
      <w:r w:rsidR="00AC56B6" w:rsidRPr="00A75644">
        <w:rPr>
          <w:b/>
          <w:sz w:val="20"/>
          <w:szCs w:val="20"/>
          <w:u w:val="single"/>
        </w:rPr>
        <w:t xml:space="preserve"> </w:t>
      </w:r>
      <w:r w:rsidR="00AC56B6" w:rsidRPr="00A75644">
        <w:rPr>
          <w:sz w:val="20"/>
          <w:szCs w:val="20"/>
        </w:rPr>
        <w:t xml:space="preserve"> </w:t>
      </w:r>
      <w:r w:rsidR="007A2A73" w:rsidRPr="00A75644">
        <w:rPr>
          <w:sz w:val="20"/>
          <w:szCs w:val="20"/>
        </w:rPr>
        <w:t>T</w:t>
      </w:r>
      <w:r w:rsidR="00AC56B6" w:rsidRPr="00A75644">
        <w:rPr>
          <w:sz w:val="20"/>
          <w:szCs w:val="20"/>
        </w:rPr>
        <w:t xml:space="preserve">he exposure-adjusted rate of death (integrated 6-month </w:t>
      </w:r>
      <w:r w:rsidR="00AC56B6" w:rsidRPr="00A75644">
        <w:rPr>
          <w:sz w:val="20"/>
          <w:szCs w:val="20"/>
          <w:u w:val="single"/>
        </w:rPr>
        <w:t>and</w:t>
      </w:r>
      <w:r w:rsidR="00AC56B6" w:rsidRPr="00A75644">
        <w:rPr>
          <w:sz w:val="20"/>
          <w:szCs w:val="20"/>
        </w:rPr>
        <w:t xml:space="preserve"> 1-year trials) was</w:t>
      </w:r>
      <w:r w:rsidR="007A2A73" w:rsidRPr="00A75644">
        <w:rPr>
          <w:sz w:val="20"/>
          <w:szCs w:val="20"/>
        </w:rPr>
        <w:t xml:space="preserve"> lowest with the fluticasone only arms.  Among the 3 doses of FF/VI, the lowest rate </w:t>
      </w:r>
      <w:r w:rsidR="00A75644" w:rsidRPr="00A75644">
        <w:rPr>
          <w:sz w:val="20"/>
          <w:szCs w:val="20"/>
        </w:rPr>
        <w:t>was with the approved dose (14.3</w:t>
      </w:r>
      <w:r w:rsidR="007A2A73" w:rsidRPr="00A75644">
        <w:rPr>
          <w:sz w:val="20"/>
          <w:szCs w:val="20"/>
        </w:rPr>
        <w:t>) versus 12.0 with placebo.</w:t>
      </w:r>
    </w:p>
    <w:p w:rsidR="007A2A73" w:rsidRPr="00A75644" w:rsidRDefault="007A2A73" w:rsidP="00E63CCB">
      <w:pPr>
        <w:rPr>
          <w:sz w:val="20"/>
          <w:szCs w:val="20"/>
        </w:rPr>
      </w:pPr>
    </w:p>
    <w:p w:rsidR="00B03B4E" w:rsidRDefault="00B03B4E">
      <w:pPr>
        <w:rPr>
          <w:rFonts w:asciiTheme="minorHAnsi" w:hAnsiTheme="minorHAnsi"/>
          <w:b/>
          <w:sz w:val="20"/>
          <w:szCs w:val="20"/>
        </w:rPr>
      </w:pPr>
    </w:p>
    <w:p w:rsidR="00B03B4E" w:rsidRDefault="00B03B4E">
      <w:pPr>
        <w:rPr>
          <w:rFonts w:asciiTheme="minorHAnsi" w:hAnsiTheme="minorHAnsi"/>
          <w:b/>
          <w:sz w:val="20"/>
          <w:szCs w:val="20"/>
        </w:rPr>
      </w:pPr>
    </w:p>
    <w:p w:rsidR="00B03B4E" w:rsidRDefault="00B03B4E">
      <w:pPr>
        <w:rPr>
          <w:rFonts w:asciiTheme="minorHAnsi" w:hAnsiTheme="minorHAnsi"/>
          <w:b/>
          <w:sz w:val="20"/>
          <w:szCs w:val="20"/>
        </w:rPr>
      </w:pPr>
    </w:p>
    <w:p w:rsidR="00B03B4E" w:rsidRDefault="00B03B4E">
      <w:pPr>
        <w:rPr>
          <w:rFonts w:asciiTheme="minorHAnsi" w:hAnsiTheme="minorHAnsi"/>
          <w:b/>
          <w:sz w:val="20"/>
          <w:szCs w:val="20"/>
        </w:rPr>
      </w:pPr>
    </w:p>
    <w:p w:rsidR="00B03B4E" w:rsidRDefault="00B03B4E">
      <w:pPr>
        <w:rPr>
          <w:rFonts w:asciiTheme="minorHAnsi" w:hAnsiTheme="minorHAnsi"/>
          <w:b/>
          <w:sz w:val="20"/>
          <w:szCs w:val="20"/>
        </w:rPr>
      </w:pPr>
    </w:p>
    <w:p w:rsidR="00D96466" w:rsidRPr="00256E9C" w:rsidRDefault="00256E9C">
      <w:pPr>
        <w:rPr>
          <w:rFonts w:asciiTheme="minorHAnsi" w:hAnsiTheme="minorHAnsi"/>
          <w:b/>
          <w:sz w:val="20"/>
          <w:szCs w:val="20"/>
        </w:rPr>
      </w:pPr>
      <w:r w:rsidRPr="00A75644">
        <w:rPr>
          <w:rFonts w:asciiTheme="minorHAnsi" w:hAnsiTheme="minorHAnsi"/>
          <w:b/>
          <w:sz w:val="20"/>
          <w:szCs w:val="20"/>
        </w:rPr>
        <w:lastRenderedPageBreak/>
        <w:t>Table</w:t>
      </w:r>
      <w:r w:rsidR="00970B3D" w:rsidRPr="00A75644">
        <w:rPr>
          <w:rFonts w:asciiTheme="minorHAnsi" w:hAnsiTheme="minorHAnsi"/>
          <w:b/>
          <w:sz w:val="20"/>
          <w:szCs w:val="20"/>
        </w:rPr>
        <w:t xml:space="preserve"> 7</w:t>
      </w:r>
      <w:r w:rsidRPr="00A75644">
        <w:rPr>
          <w:rFonts w:asciiTheme="minorHAnsi" w:hAnsiTheme="minorHAnsi"/>
          <w:b/>
          <w:sz w:val="20"/>
          <w:szCs w:val="20"/>
        </w:rPr>
        <w:t>:  Adverse Ev</w:t>
      </w:r>
      <w:r w:rsidR="002938A0" w:rsidRPr="00A75644">
        <w:rPr>
          <w:rFonts w:asciiTheme="minorHAnsi" w:hAnsiTheme="minorHAnsi"/>
          <w:b/>
          <w:sz w:val="20"/>
          <w:szCs w:val="20"/>
        </w:rPr>
        <w:t>ents: Integrated Results for 6-Month and 1-Y</w:t>
      </w:r>
      <w:r w:rsidR="00EC46E9" w:rsidRPr="00A75644">
        <w:rPr>
          <w:rFonts w:asciiTheme="minorHAnsi" w:hAnsiTheme="minorHAnsi"/>
          <w:b/>
          <w:sz w:val="20"/>
          <w:szCs w:val="20"/>
        </w:rPr>
        <w:t>ear Trials</w:t>
      </w:r>
    </w:p>
    <w:tbl>
      <w:tblPr>
        <w:tblStyle w:val="TableGrid"/>
        <w:tblW w:w="10068" w:type="dxa"/>
        <w:tblInd w:w="-72" w:type="dxa"/>
        <w:tblLook w:val="04A0" w:firstRow="1" w:lastRow="0" w:firstColumn="1" w:lastColumn="0" w:noHBand="0" w:noVBand="1"/>
      </w:tblPr>
      <w:tblGrid>
        <w:gridCol w:w="1290"/>
        <w:gridCol w:w="798"/>
        <w:gridCol w:w="456"/>
        <w:gridCol w:w="342"/>
        <w:gridCol w:w="798"/>
        <w:gridCol w:w="114"/>
        <w:gridCol w:w="684"/>
        <w:gridCol w:w="570"/>
        <w:gridCol w:w="228"/>
        <w:gridCol w:w="798"/>
        <w:gridCol w:w="228"/>
        <w:gridCol w:w="570"/>
        <w:gridCol w:w="684"/>
        <w:gridCol w:w="114"/>
        <w:gridCol w:w="798"/>
        <w:gridCol w:w="342"/>
        <w:gridCol w:w="456"/>
        <w:gridCol w:w="798"/>
      </w:tblGrid>
      <w:tr w:rsidR="00256E9C" w:rsidRPr="009A669B" w:rsidTr="00783D10">
        <w:tc>
          <w:tcPr>
            <w:tcW w:w="1290" w:type="dxa"/>
            <w:vMerge w:val="restart"/>
            <w:tcBorders>
              <w:left w:val="nil"/>
              <w:right w:val="nil"/>
            </w:tcBorders>
            <w:shd w:val="clear" w:color="auto" w:fill="D9D9D9" w:themeFill="background1" w:themeFillShade="D9"/>
          </w:tcPr>
          <w:p w:rsidR="00256E9C" w:rsidRPr="00256E9C" w:rsidRDefault="00256E9C">
            <w:pPr>
              <w:rPr>
                <w:rFonts w:asciiTheme="minorHAnsi" w:hAnsiTheme="minorHAnsi"/>
                <w:b/>
                <w:sz w:val="16"/>
                <w:szCs w:val="16"/>
              </w:rPr>
            </w:pPr>
          </w:p>
        </w:tc>
        <w:tc>
          <w:tcPr>
            <w:tcW w:w="5586" w:type="dxa"/>
            <w:gridSpan w:val="11"/>
            <w:tcBorders>
              <w:left w:val="nil"/>
              <w:right w:val="nil"/>
            </w:tcBorders>
            <w:shd w:val="clear" w:color="auto" w:fill="D9D9D9" w:themeFill="background1" w:themeFillShade="D9"/>
            <w:vAlign w:val="center"/>
          </w:tcPr>
          <w:p w:rsidR="00256E9C" w:rsidRPr="00256E9C" w:rsidRDefault="00EC46E9" w:rsidP="0067004A">
            <w:pPr>
              <w:jc w:val="center"/>
              <w:rPr>
                <w:rFonts w:asciiTheme="minorHAnsi" w:hAnsiTheme="minorHAnsi"/>
                <w:b/>
                <w:sz w:val="16"/>
                <w:szCs w:val="16"/>
              </w:rPr>
            </w:pPr>
            <w:r>
              <w:rPr>
                <w:rFonts w:asciiTheme="minorHAnsi" w:hAnsiTheme="minorHAnsi"/>
                <w:b/>
                <w:sz w:val="16"/>
                <w:szCs w:val="16"/>
              </w:rPr>
              <w:t>6-month Trials</w:t>
            </w:r>
          </w:p>
        </w:tc>
        <w:tc>
          <w:tcPr>
            <w:tcW w:w="3192" w:type="dxa"/>
            <w:gridSpan w:val="6"/>
            <w:tcBorders>
              <w:left w:val="nil"/>
              <w:right w:val="nil"/>
            </w:tcBorders>
            <w:shd w:val="clear" w:color="auto" w:fill="D9D9D9" w:themeFill="background1" w:themeFillShade="D9"/>
            <w:vAlign w:val="center"/>
          </w:tcPr>
          <w:p w:rsidR="00256E9C" w:rsidRPr="00256E9C" w:rsidRDefault="00256E9C" w:rsidP="00EC46E9">
            <w:pPr>
              <w:jc w:val="center"/>
              <w:rPr>
                <w:rFonts w:asciiTheme="minorHAnsi" w:hAnsiTheme="minorHAnsi"/>
                <w:b/>
                <w:sz w:val="16"/>
                <w:szCs w:val="16"/>
              </w:rPr>
            </w:pPr>
            <w:r>
              <w:rPr>
                <w:rFonts w:asciiTheme="minorHAnsi" w:hAnsiTheme="minorHAnsi"/>
                <w:b/>
                <w:sz w:val="16"/>
                <w:szCs w:val="16"/>
              </w:rPr>
              <w:t xml:space="preserve">1-year </w:t>
            </w:r>
            <w:r w:rsidR="00EC46E9">
              <w:rPr>
                <w:rFonts w:asciiTheme="minorHAnsi" w:hAnsiTheme="minorHAnsi"/>
                <w:b/>
                <w:sz w:val="16"/>
                <w:szCs w:val="16"/>
              </w:rPr>
              <w:t>Trials</w:t>
            </w:r>
          </w:p>
        </w:tc>
      </w:tr>
      <w:tr w:rsidR="00256E9C" w:rsidRPr="009A669B" w:rsidTr="00783D10">
        <w:tc>
          <w:tcPr>
            <w:tcW w:w="1290" w:type="dxa"/>
            <w:vMerge/>
            <w:tcBorders>
              <w:left w:val="nil"/>
              <w:right w:val="single" w:sz="4" w:space="0" w:color="auto"/>
            </w:tcBorders>
            <w:shd w:val="clear" w:color="auto" w:fill="D9D9D9" w:themeFill="background1" w:themeFillShade="D9"/>
          </w:tcPr>
          <w:p w:rsidR="00256E9C" w:rsidRPr="00256E9C" w:rsidRDefault="00256E9C">
            <w:pPr>
              <w:rPr>
                <w:rFonts w:asciiTheme="minorHAnsi" w:hAnsiTheme="minorHAnsi"/>
                <w:b/>
                <w:sz w:val="16"/>
                <w:szCs w:val="16"/>
              </w:rPr>
            </w:pPr>
          </w:p>
        </w:tc>
        <w:tc>
          <w:tcPr>
            <w:tcW w:w="798" w:type="dxa"/>
            <w:tcBorders>
              <w:left w:val="single" w:sz="4" w:space="0" w:color="auto"/>
              <w:right w:val="single" w:sz="4" w:space="0" w:color="auto"/>
            </w:tcBorders>
            <w:shd w:val="clear" w:color="auto" w:fill="D9D9D9" w:themeFill="background1" w:themeFillShade="D9"/>
            <w:vAlign w:val="center"/>
          </w:tcPr>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FF/VI</w:t>
            </w:r>
          </w:p>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100/25</w:t>
            </w:r>
          </w:p>
        </w:tc>
        <w:tc>
          <w:tcPr>
            <w:tcW w:w="798" w:type="dxa"/>
            <w:gridSpan w:val="2"/>
            <w:tcBorders>
              <w:left w:val="single" w:sz="4" w:space="0" w:color="auto"/>
              <w:right w:val="nil"/>
            </w:tcBorders>
            <w:shd w:val="clear" w:color="auto" w:fill="D9D9D9" w:themeFill="background1" w:themeFillShade="D9"/>
            <w:vAlign w:val="center"/>
          </w:tcPr>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FF/VI</w:t>
            </w:r>
          </w:p>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50/25</w:t>
            </w:r>
          </w:p>
        </w:tc>
        <w:tc>
          <w:tcPr>
            <w:tcW w:w="798" w:type="dxa"/>
            <w:tcBorders>
              <w:left w:val="nil"/>
              <w:right w:val="nil"/>
            </w:tcBorders>
            <w:shd w:val="clear" w:color="auto" w:fill="D9D9D9" w:themeFill="background1" w:themeFillShade="D9"/>
            <w:vAlign w:val="center"/>
          </w:tcPr>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FF/VI</w:t>
            </w:r>
          </w:p>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200/25</w:t>
            </w:r>
          </w:p>
        </w:tc>
        <w:tc>
          <w:tcPr>
            <w:tcW w:w="798" w:type="dxa"/>
            <w:gridSpan w:val="2"/>
            <w:tcBorders>
              <w:left w:val="nil"/>
              <w:right w:val="nil"/>
            </w:tcBorders>
            <w:shd w:val="clear" w:color="auto" w:fill="D9D9D9" w:themeFill="background1" w:themeFillShade="D9"/>
            <w:vAlign w:val="center"/>
          </w:tcPr>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VI 25</w:t>
            </w:r>
          </w:p>
        </w:tc>
        <w:tc>
          <w:tcPr>
            <w:tcW w:w="798" w:type="dxa"/>
            <w:gridSpan w:val="2"/>
            <w:tcBorders>
              <w:left w:val="nil"/>
              <w:right w:val="nil"/>
            </w:tcBorders>
            <w:shd w:val="clear" w:color="auto" w:fill="D9D9D9" w:themeFill="background1" w:themeFillShade="D9"/>
            <w:vAlign w:val="center"/>
          </w:tcPr>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FF100</w:t>
            </w:r>
          </w:p>
        </w:tc>
        <w:tc>
          <w:tcPr>
            <w:tcW w:w="798" w:type="dxa"/>
            <w:tcBorders>
              <w:left w:val="nil"/>
              <w:right w:val="nil"/>
            </w:tcBorders>
            <w:shd w:val="clear" w:color="auto" w:fill="D9D9D9" w:themeFill="background1" w:themeFillShade="D9"/>
            <w:vAlign w:val="center"/>
          </w:tcPr>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FF200</w:t>
            </w:r>
          </w:p>
        </w:tc>
        <w:tc>
          <w:tcPr>
            <w:tcW w:w="798" w:type="dxa"/>
            <w:gridSpan w:val="2"/>
            <w:tcBorders>
              <w:left w:val="nil"/>
              <w:right w:val="single" w:sz="4" w:space="0" w:color="auto"/>
            </w:tcBorders>
            <w:shd w:val="clear" w:color="auto" w:fill="D9D9D9" w:themeFill="background1" w:themeFillShade="D9"/>
            <w:vAlign w:val="center"/>
          </w:tcPr>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PBO</w:t>
            </w:r>
          </w:p>
        </w:tc>
        <w:tc>
          <w:tcPr>
            <w:tcW w:w="798" w:type="dxa"/>
            <w:gridSpan w:val="2"/>
            <w:tcBorders>
              <w:left w:val="single" w:sz="4" w:space="0" w:color="auto"/>
              <w:right w:val="single" w:sz="4" w:space="0" w:color="auto"/>
            </w:tcBorders>
            <w:shd w:val="clear" w:color="auto" w:fill="D9D9D9" w:themeFill="background1" w:themeFillShade="D9"/>
            <w:vAlign w:val="center"/>
          </w:tcPr>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FF/VI</w:t>
            </w:r>
          </w:p>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100/25</w:t>
            </w:r>
          </w:p>
        </w:tc>
        <w:tc>
          <w:tcPr>
            <w:tcW w:w="798" w:type="dxa"/>
            <w:tcBorders>
              <w:left w:val="single" w:sz="4" w:space="0" w:color="auto"/>
              <w:right w:val="nil"/>
            </w:tcBorders>
            <w:shd w:val="clear" w:color="auto" w:fill="D9D9D9" w:themeFill="background1" w:themeFillShade="D9"/>
            <w:vAlign w:val="center"/>
          </w:tcPr>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FF/VI</w:t>
            </w:r>
          </w:p>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50/25</w:t>
            </w:r>
          </w:p>
        </w:tc>
        <w:tc>
          <w:tcPr>
            <w:tcW w:w="798" w:type="dxa"/>
            <w:gridSpan w:val="2"/>
            <w:tcBorders>
              <w:left w:val="nil"/>
              <w:right w:val="nil"/>
            </w:tcBorders>
            <w:shd w:val="clear" w:color="auto" w:fill="D9D9D9" w:themeFill="background1" w:themeFillShade="D9"/>
            <w:vAlign w:val="center"/>
          </w:tcPr>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FF/VI</w:t>
            </w:r>
          </w:p>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200/25</w:t>
            </w:r>
          </w:p>
        </w:tc>
        <w:tc>
          <w:tcPr>
            <w:tcW w:w="798" w:type="dxa"/>
            <w:tcBorders>
              <w:left w:val="nil"/>
              <w:right w:val="nil"/>
            </w:tcBorders>
            <w:shd w:val="clear" w:color="auto" w:fill="D9D9D9" w:themeFill="background1" w:themeFillShade="D9"/>
            <w:vAlign w:val="center"/>
          </w:tcPr>
          <w:p w:rsidR="00256E9C" w:rsidRPr="00256E9C" w:rsidRDefault="00256E9C" w:rsidP="0067004A">
            <w:pPr>
              <w:jc w:val="center"/>
              <w:rPr>
                <w:rFonts w:asciiTheme="minorHAnsi" w:hAnsiTheme="minorHAnsi"/>
                <w:b/>
                <w:sz w:val="16"/>
                <w:szCs w:val="16"/>
              </w:rPr>
            </w:pPr>
            <w:r w:rsidRPr="00256E9C">
              <w:rPr>
                <w:rFonts w:asciiTheme="minorHAnsi" w:hAnsiTheme="minorHAnsi"/>
                <w:b/>
                <w:sz w:val="16"/>
                <w:szCs w:val="16"/>
              </w:rPr>
              <w:t>VI 25</w:t>
            </w:r>
          </w:p>
        </w:tc>
      </w:tr>
      <w:tr w:rsidR="009A669B" w:rsidRPr="009A669B" w:rsidTr="00783D10">
        <w:tc>
          <w:tcPr>
            <w:tcW w:w="1290" w:type="dxa"/>
            <w:tcBorders>
              <w:left w:val="nil"/>
              <w:right w:val="single" w:sz="4" w:space="0" w:color="auto"/>
            </w:tcBorders>
          </w:tcPr>
          <w:p w:rsidR="009A669B" w:rsidRDefault="009A669B">
            <w:pPr>
              <w:rPr>
                <w:rFonts w:asciiTheme="minorHAnsi" w:hAnsiTheme="minorHAnsi"/>
                <w:sz w:val="16"/>
                <w:szCs w:val="16"/>
              </w:rPr>
            </w:pPr>
            <w:r>
              <w:rPr>
                <w:rFonts w:asciiTheme="minorHAnsi" w:hAnsiTheme="minorHAnsi"/>
                <w:sz w:val="16"/>
                <w:szCs w:val="16"/>
              </w:rPr>
              <w:t>N</w:t>
            </w:r>
          </w:p>
        </w:tc>
        <w:tc>
          <w:tcPr>
            <w:tcW w:w="798" w:type="dxa"/>
            <w:tcBorders>
              <w:left w:val="single" w:sz="4" w:space="0" w:color="auto"/>
              <w:right w:val="single" w:sz="4" w:space="0" w:color="auto"/>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410</w:t>
            </w:r>
          </w:p>
        </w:tc>
        <w:tc>
          <w:tcPr>
            <w:tcW w:w="798" w:type="dxa"/>
            <w:gridSpan w:val="2"/>
            <w:tcBorders>
              <w:left w:val="single" w:sz="4" w:space="0" w:color="auto"/>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206</w:t>
            </w:r>
          </w:p>
        </w:tc>
        <w:tc>
          <w:tcPr>
            <w:tcW w:w="798" w:type="dxa"/>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205</w:t>
            </w:r>
          </w:p>
        </w:tc>
        <w:tc>
          <w:tcPr>
            <w:tcW w:w="798" w:type="dxa"/>
            <w:gridSpan w:val="2"/>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408</w:t>
            </w:r>
          </w:p>
        </w:tc>
        <w:tc>
          <w:tcPr>
            <w:tcW w:w="798" w:type="dxa"/>
            <w:gridSpan w:val="2"/>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410</w:t>
            </w:r>
          </w:p>
        </w:tc>
        <w:tc>
          <w:tcPr>
            <w:tcW w:w="798" w:type="dxa"/>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203</w:t>
            </w:r>
          </w:p>
        </w:tc>
        <w:tc>
          <w:tcPr>
            <w:tcW w:w="798" w:type="dxa"/>
            <w:gridSpan w:val="2"/>
            <w:tcBorders>
              <w:left w:val="nil"/>
              <w:right w:val="single" w:sz="4" w:space="0" w:color="auto"/>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412</w:t>
            </w:r>
          </w:p>
        </w:tc>
        <w:tc>
          <w:tcPr>
            <w:tcW w:w="798" w:type="dxa"/>
            <w:gridSpan w:val="2"/>
            <w:tcBorders>
              <w:left w:val="single" w:sz="4" w:space="0" w:color="auto"/>
              <w:right w:val="single" w:sz="4" w:space="0" w:color="auto"/>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806</w:t>
            </w:r>
          </w:p>
        </w:tc>
        <w:tc>
          <w:tcPr>
            <w:tcW w:w="798" w:type="dxa"/>
            <w:tcBorders>
              <w:left w:val="single" w:sz="4" w:space="0" w:color="auto"/>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820</w:t>
            </w:r>
          </w:p>
        </w:tc>
        <w:tc>
          <w:tcPr>
            <w:tcW w:w="798" w:type="dxa"/>
            <w:gridSpan w:val="2"/>
            <w:tcBorders>
              <w:left w:val="nil"/>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811</w:t>
            </w:r>
          </w:p>
        </w:tc>
        <w:tc>
          <w:tcPr>
            <w:tcW w:w="798" w:type="dxa"/>
            <w:tcBorders>
              <w:left w:val="nil"/>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818</w:t>
            </w:r>
          </w:p>
        </w:tc>
      </w:tr>
      <w:tr w:rsidR="009A669B" w:rsidRPr="009A669B" w:rsidTr="00783D10">
        <w:tc>
          <w:tcPr>
            <w:tcW w:w="1290" w:type="dxa"/>
            <w:tcBorders>
              <w:left w:val="nil"/>
              <w:right w:val="single" w:sz="4" w:space="0" w:color="auto"/>
            </w:tcBorders>
          </w:tcPr>
          <w:p w:rsidR="009A669B" w:rsidRPr="009A669B" w:rsidRDefault="009A669B">
            <w:pPr>
              <w:rPr>
                <w:rFonts w:asciiTheme="minorHAnsi" w:hAnsiTheme="minorHAnsi"/>
                <w:sz w:val="16"/>
                <w:szCs w:val="16"/>
              </w:rPr>
            </w:pPr>
            <w:r>
              <w:rPr>
                <w:rFonts w:asciiTheme="minorHAnsi" w:hAnsiTheme="minorHAnsi"/>
                <w:sz w:val="16"/>
                <w:szCs w:val="16"/>
              </w:rPr>
              <w:t>Any on-</w:t>
            </w:r>
            <w:proofErr w:type="spellStart"/>
            <w:r>
              <w:rPr>
                <w:rFonts w:asciiTheme="minorHAnsi" w:hAnsiTheme="minorHAnsi"/>
                <w:sz w:val="16"/>
                <w:szCs w:val="16"/>
              </w:rPr>
              <w:t>tx</w:t>
            </w:r>
            <w:proofErr w:type="spellEnd"/>
            <w:r>
              <w:rPr>
                <w:rFonts w:asciiTheme="minorHAnsi" w:hAnsiTheme="minorHAnsi"/>
                <w:sz w:val="16"/>
                <w:szCs w:val="16"/>
              </w:rPr>
              <w:t xml:space="preserve"> AE</w:t>
            </w:r>
          </w:p>
        </w:tc>
        <w:tc>
          <w:tcPr>
            <w:tcW w:w="798" w:type="dxa"/>
            <w:tcBorders>
              <w:left w:val="single" w:sz="4" w:space="0" w:color="auto"/>
              <w:right w:val="single" w:sz="4" w:space="0" w:color="auto"/>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203 (50)</w:t>
            </w:r>
          </w:p>
        </w:tc>
        <w:tc>
          <w:tcPr>
            <w:tcW w:w="798" w:type="dxa"/>
            <w:gridSpan w:val="2"/>
            <w:tcBorders>
              <w:left w:val="single" w:sz="4" w:space="0" w:color="auto"/>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144 (55)</w:t>
            </w:r>
          </w:p>
        </w:tc>
        <w:tc>
          <w:tcPr>
            <w:tcW w:w="798" w:type="dxa"/>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93 (45)</w:t>
            </w:r>
          </w:p>
        </w:tc>
        <w:tc>
          <w:tcPr>
            <w:tcW w:w="798" w:type="dxa"/>
            <w:gridSpan w:val="2"/>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196 (48)</w:t>
            </w:r>
          </w:p>
        </w:tc>
        <w:tc>
          <w:tcPr>
            <w:tcW w:w="798" w:type="dxa"/>
            <w:gridSpan w:val="2"/>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201 (49)</w:t>
            </w:r>
          </w:p>
        </w:tc>
        <w:tc>
          <w:tcPr>
            <w:tcW w:w="798" w:type="dxa"/>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96 (47)</w:t>
            </w:r>
          </w:p>
        </w:tc>
        <w:tc>
          <w:tcPr>
            <w:tcW w:w="798" w:type="dxa"/>
            <w:gridSpan w:val="2"/>
            <w:tcBorders>
              <w:left w:val="nil"/>
              <w:right w:val="single" w:sz="4" w:space="0" w:color="auto"/>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196 (48)</w:t>
            </w:r>
          </w:p>
        </w:tc>
        <w:tc>
          <w:tcPr>
            <w:tcW w:w="798" w:type="dxa"/>
            <w:gridSpan w:val="2"/>
            <w:tcBorders>
              <w:left w:val="single" w:sz="4" w:space="0" w:color="auto"/>
              <w:right w:val="single" w:sz="4" w:space="0" w:color="auto"/>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621 (77)</w:t>
            </w:r>
          </w:p>
        </w:tc>
        <w:tc>
          <w:tcPr>
            <w:tcW w:w="798" w:type="dxa"/>
            <w:tcBorders>
              <w:left w:val="single" w:sz="4" w:space="0" w:color="auto"/>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620 (76)</w:t>
            </w:r>
          </w:p>
        </w:tc>
        <w:tc>
          <w:tcPr>
            <w:tcW w:w="798" w:type="dxa"/>
            <w:gridSpan w:val="2"/>
            <w:tcBorders>
              <w:left w:val="nil"/>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622 (77)</w:t>
            </w:r>
          </w:p>
        </w:tc>
        <w:tc>
          <w:tcPr>
            <w:tcW w:w="798" w:type="dxa"/>
            <w:tcBorders>
              <w:left w:val="nil"/>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575 (70)</w:t>
            </w:r>
          </w:p>
        </w:tc>
      </w:tr>
      <w:tr w:rsidR="009A669B" w:rsidRPr="009A669B" w:rsidTr="00783D10">
        <w:tc>
          <w:tcPr>
            <w:tcW w:w="1290" w:type="dxa"/>
            <w:tcBorders>
              <w:left w:val="nil"/>
              <w:right w:val="single" w:sz="4" w:space="0" w:color="auto"/>
            </w:tcBorders>
          </w:tcPr>
          <w:p w:rsidR="009A669B" w:rsidRPr="009A669B" w:rsidRDefault="009A669B">
            <w:pPr>
              <w:rPr>
                <w:rFonts w:asciiTheme="minorHAnsi" w:hAnsiTheme="minorHAnsi"/>
                <w:sz w:val="16"/>
                <w:szCs w:val="16"/>
              </w:rPr>
            </w:pPr>
            <w:r>
              <w:rPr>
                <w:rFonts w:asciiTheme="minorHAnsi" w:hAnsiTheme="minorHAnsi"/>
                <w:sz w:val="16"/>
                <w:szCs w:val="16"/>
              </w:rPr>
              <w:t>D/C due to AE</w:t>
            </w:r>
          </w:p>
        </w:tc>
        <w:tc>
          <w:tcPr>
            <w:tcW w:w="798" w:type="dxa"/>
            <w:tcBorders>
              <w:left w:val="single" w:sz="4" w:space="0" w:color="auto"/>
              <w:right w:val="single" w:sz="4" w:space="0" w:color="auto"/>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36 (9)</w:t>
            </w:r>
          </w:p>
        </w:tc>
        <w:tc>
          <w:tcPr>
            <w:tcW w:w="798" w:type="dxa"/>
            <w:gridSpan w:val="2"/>
            <w:tcBorders>
              <w:left w:val="single" w:sz="4" w:space="0" w:color="auto"/>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19 (9)</w:t>
            </w:r>
          </w:p>
        </w:tc>
        <w:tc>
          <w:tcPr>
            <w:tcW w:w="798" w:type="dxa"/>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23 (11)</w:t>
            </w:r>
          </w:p>
        </w:tc>
        <w:tc>
          <w:tcPr>
            <w:tcW w:w="798" w:type="dxa"/>
            <w:gridSpan w:val="2"/>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40 (10)</w:t>
            </w:r>
          </w:p>
        </w:tc>
        <w:tc>
          <w:tcPr>
            <w:tcW w:w="798" w:type="dxa"/>
            <w:gridSpan w:val="2"/>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37 (9)</w:t>
            </w:r>
          </w:p>
        </w:tc>
        <w:tc>
          <w:tcPr>
            <w:tcW w:w="798" w:type="dxa"/>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15 (7)</w:t>
            </w:r>
          </w:p>
        </w:tc>
        <w:tc>
          <w:tcPr>
            <w:tcW w:w="798" w:type="dxa"/>
            <w:gridSpan w:val="2"/>
            <w:tcBorders>
              <w:left w:val="nil"/>
              <w:right w:val="single" w:sz="4" w:space="0" w:color="auto"/>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39 (9)</w:t>
            </w:r>
          </w:p>
        </w:tc>
        <w:tc>
          <w:tcPr>
            <w:tcW w:w="798" w:type="dxa"/>
            <w:gridSpan w:val="2"/>
            <w:tcBorders>
              <w:left w:val="single" w:sz="4" w:space="0" w:color="auto"/>
              <w:right w:val="single" w:sz="4" w:space="0" w:color="auto"/>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62 (8)</w:t>
            </w:r>
          </w:p>
        </w:tc>
        <w:tc>
          <w:tcPr>
            <w:tcW w:w="798" w:type="dxa"/>
            <w:tcBorders>
              <w:left w:val="single" w:sz="4" w:space="0" w:color="auto"/>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53 (8)</w:t>
            </w:r>
          </w:p>
        </w:tc>
        <w:tc>
          <w:tcPr>
            <w:tcW w:w="798" w:type="dxa"/>
            <w:gridSpan w:val="2"/>
            <w:tcBorders>
              <w:left w:val="nil"/>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61 (8)</w:t>
            </w:r>
          </w:p>
        </w:tc>
        <w:tc>
          <w:tcPr>
            <w:tcW w:w="798" w:type="dxa"/>
            <w:tcBorders>
              <w:left w:val="nil"/>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45 (6)</w:t>
            </w:r>
          </w:p>
        </w:tc>
      </w:tr>
      <w:tr w:rsidR="009A669B" w:rsidRPr="009A669B" w:rsidTr="00783D10">
        <w:tc>
          <w:tcPr>
            <w:tcW w:w="1290" w:type="dxa"/>
            <w:tcBorders>
              <w:left w:val="nil"/>
              <w:right w:val="single" w:sz="4" w:space="0" w:color="auto"/>
            </w:tcBorders>
          </w:tcPr>
          <w:p w:rsidR="009A669B" w:rsidRDefault="009A669B">
            <w:pPr>
              <w:rPr>
                <w:rFonts w:asciiTheme="minorHAnsi" w:hAnsiTheme="minorHAnsi"/>
                <w:sz w:val="16"/>
                <w:szCs w:val="16"/>
              </w:rPr>
            </w:pPr>
            <w:r>
              <w:rPr>
                <w:rFonts w:asciiTheme="minorHAnsi" w:hAnsiTheme="minorHAnsi"/>
                <w:sz w:val="16"/>
                <w:szCs w:val="16"/>
              </w:rPr>
              <w:t>Any on-</w:t>
            </w:r>
            <w:proofErr w:type="spellStart"/>
            <w:r>
              <w:rPr>
                <w:rFonts w:asciiTheme="minorHAnsi" w:hAnsiTheme="minorHAnsi"/>
                <w:sz w:val="16"/>
                <w:szCs w:val="16"/>
              </w:rPr>
              <w:t>tx</w:t>
            </w:r>
            <w:proofErr w:type="spellEnd"/>
            <w:r>
              <w:rPr>
                <w:rFonts w:asciiTheme="minorHAnsi" w:hAnsiTheme="minorHAnsi"/>
                <w:sz w:val="16"/>
                <w:szCs w:val="16"/>
              </w:rPr>
              <w:t xml:space="preserve"> SAE</w:t>
            </w:r>
          </w:p>
        </w:tc>
        <w:tc>
          <w:tcPr>
            <w:tcW w:w="798" w:type="dxa"/>
            <w:tcBorders>
              <w:left w:val="single" w:sz="4" w:space="0" w:color="auto"/>
              <w:right w:val="single" w:sz="4" w:space="0" w:color="auto"/>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23 (6)</w:t>
            </w:r>
          </w:p>
        </w:tc>
        <w:tc>
          <w:tcPr>
            <w:tcW w:w="798" w:type="dxa"/>
            <w:gridSpan w:val="2"/>
            <w:tcBorders>
              <w:left w:val="single" w:sz="4" w:space="0" w:color="auto"/>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6 (3)</w:t>
            </w:r>
          </w:p>
        </w:tc>
        <w:tc>
          <w:tcPr>
            <w:tcW w:w="798" w:type="dxa"/>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15 (7)</w:t>
            </w:r>
          </w:p>
        </w:tc>
        <w:tc>
          <w:tcPr>
            <w:tcW w:w="798" w:type="dxa"/>
            <w:gridSpan w:val="2"/>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31 (8)</w:t>
            </w:r>
          </w:p>
        </w:tc>
        <w:tc>
          <w:tcPr>
            <w:tcW w:w="798" w:type="dxa"/>
            <w:gridSpan w:val="2"/>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22 (5)</w:t>
            </w:r>
          </w:p>
        </w:tc>
        <w:tc>
          <w:tcPr>
            <w:tcW w:w="798" w:type="dxa"/>
            <w:tcBorders>
              <w:left w:val="nil"/>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10 (5)</w:t>
            </w:r>
          </w:p>
        </w:tc>
        <w:tc>
          <w:tcPr>
            <w:tcW w:w="798" w:type="dxa"/>
            <w:gridSpan w:val="2"/>
            <w:tcBorders>
              <w:left w:val="nil"/>
              <w:right w:val="single" w:sz="4" w:space="0" w:color="auto"/>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21 (5)</w:t>
            </w:r>
          </w:p>
        </w:tc>
        <w:tc>
          <w:tcPr>
            <w:tcW w:w="798" w:type="dxa"/>
            <w:gridSpan w:val="2"/>
            <w:tcBorders>
              <w:left w:val="single" w:sz="4" w:space="0" w:color="auto"/>
              <w:right w:val="single" w:sz="4" w:space="0" w:color="auto"/>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123 (15)</w:t>
            </w:r>
          </w:p>
        </w:tc>
        <w:tc>
          <w:tcPr>
            <w:tcW w:w="798" w:type="dxa"/>
            <w:tcBorders>
              <w:left w:val="single" w:sz="4" w:space="0" w:color="auto"/>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136 (17)</w:t>
            </w:r>
          </w:p>
        </w:tc>
        <w:tc>
          <w:tcPr>
            <w:tcW w:w="798" w:type="dxa"/>
            <w:gridSpan w:val="2"/>
            <w:tcBorders>
              <w:left w:val="nil"/>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124 (15)</w:t>
            </w:r>
          </w:p>
        </w:tc>
        <w:tc>
          <w:tcPr>
            <w:tcW w:w="798" w:type="dxa"/>
            <w:tcBorders>
              <w:left w:val="nil"/>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126 (15)</w:t>
            </w:r>
          </w:p>
        </w:tc>
      </w:tr>
      <w:tr w:rsidR="009A669B" w:rsidRPr="009A669B" w:rsidTr="00AC56B6">
        <w:tc>
          <w:tcPr>
            <w:tcW w:w="1290" w:type="dxa"/>
            <w:tcBorders>
              <w:left w:val="nil"/>
              <w:right w:val="single" w:sz="4" w:space="0" w:color="auto"/>
            </w:tcBorders>
          </w:tcPr>
          <w:p w:rsidR="009A669B" w:rsidRDefault="009A669B">
            <w:pPr>
              <w:rPr>
                <w:rFonts w:asciiTheme="minorHAnsi" w:hAnsiTheme="minorHAnsi"/>
                <w:sz w:val="16"/>
                <w:szCs w:val="16"/>
              </w:rPr>
            </w:pPr>
            <w:r>
              <w:rPr>
                <w:rFonts w:asciiTheme="minorHAnsi" w:hAnsiTheme="minorHAnsi"/>
                <w:sz w:val="16"/>
                <w:szCs w:val="16"/>
              </w:rPr>
              <w:t>Any on or post-</w:t>
            </w:r>
            <w:proofErr w:type="spellStart"/>
            <w:r>
              <w:rPr>
                <w:rFonts w:asciiTheme="minorHAnsi" w:hAnsiTheme="minorHAnsi"/>
                <w:sz w:val="16"/>
                <w:szCs w:val="16"/>
              </w:rPr>
              <w:t>tx</w:t>
            </w:r>
            <w:proofErr w:type="spellEnd"/>
            <w:r>
              <w:rPr>
                <w:rFonts w:asciiTheme="minorHAnsi" w:hAnsiTheme="minorHAnsi"/>
                <w:sz w:val="16"/>
                <w:szCs w:val="16"/>
              </w:rPr>
              <w:t xml:space="preserve"> fatal SAE</w:t>
            </w:r>
          </w:p>
        </w:tc>
        <w:tc>
          <w:tcPr>
            <w:tcW w:w="798" w:type="dxa"/>
            <w:tcBorders>
              <w:left w:val="single" w:sz="4" w:space="0" w:color="auto"/>
              <w:bottom w:val="single" w:sz="4" w:space="0" w:color="auto"/>
              <w:right w:val="single" w:sz="4" w:space="0" w:color="auto"/>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2 (&lt;1)</w:t>
            </w:r>
          </w:p>
        </w:tc>
        <w:tc>
          <w:tcPr>
            <w:tcW w:w="798" w:type="dxa"/>
            <w:gridSpan w:val="2"/>
            <w:tcBorders>
              <w:left w:val="single" w:sz="4" w:space="0" w:color="auto"/>
              <w:bottom w:val="single" w:sz="4" w:space="0" w:color="auto"/>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2 (&lt;1)</w:t>
            </w:r>
          </w:p>
        </w:tc>
        <w:tc>
          <w:tcPr>
            <w:tcW w:w="798" w:type="dxa"/>
            <w:tcBorders>
              <w:left w:val="nil"/>
              <w:bottom w:val="single" w:sz="4" w:space="0" w:color="auto"/>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1 (&lt;1)</w:t>
            </w:r>
          </w:p>
        </w:tc>
        <w:tc>
          <w:tcPr>
            <w:tcW w:w="798" w:type="dxa"/>
            <w:gridSpan w:val="2"/>
            <w:tcBorders>
              <w:left w:val="nil"/>
              <w:bottom w:val="single" w:sz="4" w:space="0" w:color="auto"/>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3 (&lt;1)</w:t>
            </w:r>
          </w:p>
        </w:tc>
        <w:tc>
          <w:tcPr>
            <w:tcW w:w="798" w:type="dxa"/>
            <w:gridSpan w:val="2"/>
            <w:tcBorders>
              <w:left w:val="nil"/>
              <w:bottom w:val="single" w:sz="4" w:space="0" w:color="auto"/>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1 (&lt;1)</w:t>
            </w:r>
          </w:p>
        </w:tc>
        <w:tc>
          <w:tcPr>
            <w:tcW w:w="798" w:type="dxa"/>
            <w:tcBorders>
              <w:left w:val="nil"/>
              <w:bottom w:val="single" w:sz="4" w:space="0" w:color="auto"/>
              <w:right w:val="nil"/>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0</w:t>
            </w:r>
          </w:p>
        </w:tc>
        <w:tc>
          <w:tcPr>
            <w:tcW w:w="798" w:type="dxa"/>
            <w:gridSpan w:val="2"/>
            <w:tcBorders>
              <w:left w:val="nil"/>
              <w:bottom w:val="single" w:sz="4" w:space="0" w:color="auto"/>
              <w:right w:val="single" w:sz="4" w:space="0" w:color="auto"/>
            </w:tcBorders>
            <w:vAlign w:val="center"/>
          </w:tcPr>
          <w:p w:rsidR="009A669B" w:rsidRPr="009A669B" w:rsidRDefault="009A669B" w:rsidP="0067004A">
            <w:pPr>
              <w:jc w:val="center"/>
              <w:rPr>
                <w:rFonts w:asciiTheme="minorHAnsi" w:hAnsiTheme="minorHAnsi"/>
                <w:sz w:val="16"/>
                <w:szCs w:val="16"/>
              </w:rPr>
            </w:pPr>
            <w:r>
              <w:rPr>
                <w:rFonts w:asciiTheme="minorHAnsi" w:hAnsiTheme="minorHAnsi"/>
                <w:sz w:val="16"/>
                <w:szCs w:val="16"/>
              </w:rPr>
              <w:t>2 (&lt;1)</w:t>
            </w:r>
          </w:p>
        </w:tc>
        <w:tc>
          <w:tcPr>
            <w:tcW w:w="798" w:type="dxa"/>
            <w:gridSpan w:val="2"/>
            <w:tcBorders>
              <w:left w:val="single" w:sz="4" w:space="0" w:color="auto"/>
              <w:bottom w:val="single" w:sz="4" w:space="0" w:color="auto"/>
              <w:right w:val="single" w:sz="4" w:space="0" w:color="auto"/>
            </w:tcBorders>
            <w:vAlign w:val="center"/>
          </w:tcPr>
          <w:p w:rsidR="009A669B" w:rsidRPr="009A669B" w:rsidRDefault="00BD10BF" w:rsidP="0067004A">
            <w:pPr>
              <w:jc w:val="center"/>
              <w:rPr>
                <w:rFonts w:asciiTheme="minorHAnsi" w:hAnsiTheme="minorHAnsi"/>
                <w:sz w:val="16"/>
                <w:szCs w:val="16"/>
              </w:rPr>
            </w:pPr>
            <w:r>
              <w:rPr>
                <w:rFonts w:asciiTheme="minorHAnsi" w:hAnsiTheme="minorHAnsi"/>
                <w:sz w:val="16"/>
                <w:szCs w:val="16"/>
              </w:rPr>
              <w:t>10 (1</w:t>
            </w:r>
            <w:r w:rsidR="0067004A">
              <w:rPr>
                <w:rFonts w:asciiTheme="minorHAnsi" w:hAnsiTheme="minorHAnsi"/>
                <w:sz w:val="16"/>
                <w:szCs w:val="16"/>
              </w:rPr>
              <w:t>)</w:t>
            </w:r>
          </w:p>
        </w:tc>
        <w:tc>
          <w:tcPr>
            <w:tcW w:w="798" w:type="dxa"/>
            <w:tcBorders>
              <w:left w:val="single" w:sz="4" w:space="0" w:color="auto"/>
              <w:bottom w:val="single" w:sz="4" w:space="0" w:color="auto"/>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16 (2)</w:t>
            </w:r>
          </w:p>
        </w:tc>
        <w:tc>
          <w:tcPr>
            <w:tcW w:w="798" w:type="dxa"/>
            <w:gridSpan w:val="2"/>
            <w:tcBorders>
              <w:left w:val="nil"/>
              <w:bottom w:val="single" w:sz="4" w:space="0" w:color="auto"/>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14 (2)</w:t>
            </w:r>
          </w:p>
        </w:tc>
        <w:tc>
          <w:tcPr>
            <w:tcW w:w="798" w:type="dxa"/>
            <w:tcBorders>
              <w:left w:val="nil"/>
              <w:bottom w:val="single" w:sz="4" w:space="0" w:color="auto"/>
              <w:right w:val="nil"/>
            </w:tcBorders>
            <w:vAlign w:val="center"/>
          </w:tcPr>
          <w:p w:rsidR="009A669B" w:rsidRPr="009A669B" w:rsidRDefault="0067004A" w:rsidP="0067004A">
            <w:pPr>
              <w:jc w:val="center"/>
              <w:rPr>
                <w:rFonts w:asciiTheme="minorHAnsi" w:hAnsiTheme="minorHAnsi"/>
                <w:sz w:val="16"/>
                <w:szCs w:val="16"/>
              </w:rPr>
            </w:pPr>
            <w:r>
              <w:rPr>
                <w:rFonts w:asciiTheme="minorHAnsi" w:hAnsiTheme="minorHAnsi"/>
                <w:sz w:val="16"/>
                <w:szCs w:val="16"/>
              </w:rPr>
              <w:t>13 (2)</w:t>
            </w:r>
          </w:p>
        </w:tc>
      </w:tr>
      <w:tr w:rsidR="00AC56B6" w:rsidRPr="009A669B" w:rsidTr="00AC56B6">
        <w:tc>
          <w:tcPr>
            <w:tcW w:w="1290" w:type="dxa"/>
            <w:vMerge w:val="restart"/>
            <w:tcBorders>
              <w:left w:val="nil"/>
              <w:right w:val="nil"/>
            </w:tcBorders>
            <w:shd w:val="clear" w:color="auto" w:fill="D9D9D9" w:themeFill="background1" w:themeFillShade="D9"/>
          </w:tcPr>
          <w:p w:rsidR="00AC56B6" w:rsidRDefault="00AC56B6">
            <w:pPr>
              <w:rPr>
                <w:rFonts w:asciiTheme="minorHAnsi" w:hAnsiTheme="minorHAnsi"/>
                <w:sz w:val="16"/>
                <w:szCs w:val="16"/>
              </w:rPr>
            </w:pPr>
          </w:p>
        </w:tc>
        <w:tc>
          <w:tcPr>
            <w:tcW w:w="8778" w:type="dxa"/>
            <w:gridSpan w:val="17"/>
            <w:tcBorders>
              <w:left w:val="nil"/>
              <w:right w:val="nil"/>
            </w:tcBorders>
            <w:shd w:val="clear" w:color="auto" w:fill="D9D9D9" w:themeFill="background1" w:themeFillShade="D9"/>
            <w:vAlign w:val="center"/>
          </w:tcPr>
          <w:p w:rsidR="00AC56B6" w:rsidRPr="00AC56B6" w:rsidRDefault="00AC56B6" w:rsidP="00EC46E9">
            <w:pPr>
              <w:jc w:val="center"/>
              <w:rPr>
                <w:rFonts w:asciiTheme="minorHAnsi" w:hAnsiTheme="minorHAnsi"/>
                <w:b/>
                <w:sz w:val="16"/>
                <w:szCs w:val="16"/>
              </w:rPr>
            </w:pPr>
            <w:r w:rsidRPr="00AC56B6">
              <w:rPr>
                <w:rFonts w:asciiTheme="minorHAnsi" w:hAnsiTheme="minorHAnsi"/>
                <w:b/>
                <w:sz w:val="16"/>
                <w:szCs w:val="16"/>
              </w:rPr>
              <w:t xml:space="preserve">Integrated 6-month AND 1-year </w:t>
            </w:r>
            <w:r w:rsidR="00EC46E9">
              <w:rPr>
                <w:rFonts w:asciiTheme="minorHAnsi" w:hAnsiTheme="minorHAnsi"/>
                <w:b/>
                <w:sz w:val="16"/>
                <w:szCs w:val="16"/>
              </w:rPr>
              <w:t>Trials</w:t>
            </w:r>
          </w:p>
        </w:tc>
      </w:tr>
      <w:tr w:rsidR="00AC56B6" w:rsidRPr="009A669B" w:rsidTr="00AC56B6">
        <w:tc>
          <w:tcPr>
            <w:tcW w:w="1290" w:type="dxa"/>
            <w:vMerge/>
            <w:tcBorders>
              <w:left w:val="nil"/>
              <w:right w:val="nil"/>
            </w:tcBorders>
            <w:shd w:val="clear" w:color="auto" w:fill="D9D9D9" w:themeFill="background1" w:themeFillShade="D9"/>
          </w:tcPr>
          <w:p w:rsidR="00AC56B6" w:rsidRDefault="00AC56B6">
            <w:pPr>
              <w:rPr>
                <w:rFonts w:asciiTheme="minorHAnsi" w:hAnsiTheme="minorHAnsi"/>
                <w:sz w:val="16"/>
                <w:szCs w:val="16"/>
              </w:rPr>
            </w:pPr>
          </w:p>
        </w:tc>
        <w:tc>
          <w:tcPr>
            <w:tcW w:w="1254" w:type="dxa"/>
            <w:gridSpan w:val="2"/>
            <w:tcBorders>
              <w:left w:val="nil"/>
              <w:right w:val="nil"/>
            </w:tcBorders>
            <w:shd w:val="clear" w:color="auto" w:fill="D9D9D9" w:themeFill="background1" w:themeFillShade="D9"/>
            <w:vAlign w:val="center"/>
          </w:tcPr>
          <w:p w:rsidR="00AC56B6" w:rsidRPr="00256E9C" w:rsidRDefault="00AC56B6" w:rsidP="00787204">
            <w:pPr>
              <w:jc w:val="center"/>
              <w:rPr>
                <w:rFonts w:asciiTheme="minorHAnsi" w:hAnsiTheme="minorHAnsi"/>
                <w:b/>
                <w:sz w:val="16"/>
                <w:szCs w:val="16"/>
              </w:rPr>
            </w:pPr>
            <w:r w:rsidRPr="00256E9C">
              <w:rPr>
                <w:rFonts w:asciiTheme="minorHAnsi" w:hAnsiTheme="minorHAnsi"/>
                <w:b/>
                <w:sz w:val="16"/>
                <w:szCs w:val="16"/>
              </w:rPr>
              <w:t>FF/VI</w:t>
            </w:r>
          </w:p>
          <w:p w:rsidR="00AC56B6" w:rsidRPr="00256E9C" w:rsidRDefault="00AC56B6" w:rsidP="00787204">
            <w:pPr>
              <w:jc w:val="center"/>
              <w:rPr>
                <w:rFonts w:asciiTheme="minorHAnsi" w:hAnsiTheme="minorHAnsi"/>
                <w:b/>
                <w:sz w:val="16"/>
                <w:szCs w:val="16"/>
              </w:rPr>
            </w:pPr>
            <w:r w:rsidRPr="00256E9C">
              <w:rPr>
                <w:rFonts w:asciiTheme="minorHAnsi" w:hAnsiTheme="minorHAnsi"/>
                <w:b/>
                <w:sz w:val="16"/>
                <w:szCs w:val="16"/>
              </w:rPr>
              <w:t>100/25</w:t>
            </w:r>
          </w:p>
        </w:tc>
        <w:tc>
          <w:tcPr>
            <w:tcW w:w="1254" w:type="dxa"/>
            <w:gridSpan w:val="3"/>
            <w:tcBorders>
              <w:left w:val="nil"/>
              <w:right w:val="nil"/>
            </w:tcBorders>
            <w:shd w:val="clear" w:color="auto" w:fill="D9D9D9" w:themeFill="background1" w:themeFillShade="D9"/>
            <w:vAlign w:val="center"/>
          </w:tcPr>
          <w:p w:rsidR="00AC56B6" w:rsidRPr="00256E9C" w:rsidRDefault="00AC56B6" w:rsidP="00787204">
            <w:pPr>
              <w:jc w:val="center"/>
              <w:rPr>
                <w:rFonts w:asciiTheme="minorHAnsi" w:hAnsiTheme="minorHAnsi"/>
                <w:b/>
                <w:sz w:val="16"/>
                <w:szCs w:val="16"/>
              </w:rPr>
            </w:pPr>
            <w:r w:rsidRPr="00256E9C">
              <w:rPr>
                <w:rFonts w:asciiTheme="minorHAnsi" w:hAnsiTheme="minorHAnsi"/>
                <w:b/>
                <w:sz w:val="16"/>
                <w:szCs w:val="16"/>
              </w:rPr>
              <w:t>FF/VI</w:t>
            </w:r>
          </w:p>
          <w:p w:rsidR="00AC56B6" w:rsidRPr="00256E9C" w:rsidRDefault="00AC56B6" w:rsidP="00787204">
            <w:pPr>
              <w:jc w:val="center"/>
              <w:rPr>
                <w:rFonts w:asciiTheme="minorHAnsi" w:hAnsiTheme="minorHAnsi"/>
                <w:b/>
                <w:sz w:val="16"/>
                <w:szCs w:val="16"/>
              </w:rPr>
            </w:pPr>
            <w:r w:rsidRPr="00256E9C">
              <w:rPr>
                <w:rFonts w:asciiTheme="minorHAnsi" w:hAnsiTheme="minorHAnsi"/>
                <w:b/>
                <w:sz w:val="16"/>
                <w:szCs w:val="16"/>
              </w:rPr>
              <w:t>50/25</w:t>
            </w:r>
          </w:p>
        </w:tc>
        <w:tc>
          <w:tcPr>
            <w:tcW w:w="1254" w:type="dxa"/>
            <w:gridSpan w:val="2"/>
            <w:tcBorders>
              <w:left w:val="nil"/>
              <w:right w:val="nil"/>
            </w:tcBorders>
            <w:shd w:val="clear" w:color="auto" w:fill="D9D9D9" w:themeFill="background1" w:themeFillShade="D9"/>
            <w:vAlign w:val="center"/>
          </w:tcPr>
          <w:p w:rsidR="00AC56B6" w:rsidRPr="00256E9C" w:rsidRDefault="00AC56B6" w:rsidP="00787204">
            <w:pPr>
              <w:jc w:val="center"/>
              <w:rPr>
                <w:rFonts w:asciiTheme="minorHAnsi" w:hAnsiTheme="minorHAnsi"/>
                <w:b/>
                <w:sz w:val="16"/>
                <w:szCs w:val="16"/>
              </w:rPr>
            </w:pPr>
            <w:r w:rsidRPr="00256E9C">
              <w:rPr>
                <w:rFonts w:asciiTheme="minorHAnsi" w:hAnsiTheme="minorHAnsi"/>
                <w:b/>
                <w:sz w:val="16"/>
                <w:szCs w:val="16"/>
              </w:rPr>
              <w:t>FF/VI</w:t>
            </w:r>
          </w:p>
          <w:p w:rsidR="00AC56B6" w:rsidRPr="00256E9C" w:rsidRDefault="00AC56B6" w:rsidP="00787204">
            <w:pPr>
              <w:jc w:val="center"/>
              <w:rPr>
                <w:rFonts w:asciiTheme="minorHAnsi" w:hAnsiTheme="minorHAnsi"/>
                <w:b/>
                <w:sz w:val="16"/>
                <w:szCs w:val="16"/>
              </w:rPr>
            </w:pPr>
            <w:r w:rsidRPr="00256E9C">
              <w:rPr>
                <w:rFonts w:asciiTheme="minorHAnsi" w:hAnsiTheme="minorHAnsi"/>
                <w:b/>
                <w:sz w:val="16"/>
                <w:szCs w:val="16"/>
              </w:rPr>
              <w:t>200/25</w:t>
            </w:r>
          </w:p>
        </w:tc>
        <w:tc>
          <w:tcPr>
            <w:tcW w:w="1254" w:type="dxa"/>
            <w:gridSpan w:val="3"/>
            <w:tcBorders>
              <w:left w:val="nil"/>
              <w:right w:val="nil"/>
            </w:tcBorders>
            <w:shd w:val="clear" w:color="auto" w:fill="D9D9D9" w:themeFill="background1" w:themeFillShade="D9"/>
            <w:vAlign w:val="center"/>
          </w:tcPr>
          <w:p w:rsidR="00AC56B6" w:rsidRPr="00256E9C" w:rsidRDefault="00AC56B6" w:rsidP="00787204">
            <w:pPr>
              <w:jc w:val="center"/>
              <w:rPr>
                <w:rFonts w:asciiTheme="minorHAnsi" w:hAnsiTheme="minorHAnsi"/>
                <w:b/>
                <w:sz w:val="16"/>
                <w:szCs w:val="16"/>
              </w:rPr>
            </w:pPr>
            <w:r w:rsidRPr="00256E9C">
              <w:rPr>
                <w:rFonts w:asciiTheme="minorHAnsi" w:hAnsiTheme="minorHAnsi"/>
                <w:b/>
                <w:sz w:val="16"/>
                <w:szCs w:val="16"/>
              </w:rPr>
              <w:t>VI 25</w:t>
            </w:r>
          </w:p>
        </w:tc>
        <w:tc>
          <w:tcPr>
            <w:tcW w:w="1254" w:type="dxa"/>
            <w:gridSpan w:val="2"/>
            <w:tcBorders>
              <w:left w:val="nil"/>
              <w:right w:val="nil"/>
            </w:tcBorders>
            <w:shd w:val="clear" w:color="auto" w:fill="D9D9D9" w:themeFill="background1" w:themeFillShade="D9"/>
            <w:vAlign w:val="center"/>
          </w:tcPr>
          <w:p w:rsidR="00AC56B6" w:rsidRPr="00256E9C" w:rsidRDefault="00AC56B6" w:rsidP="00787204">
            <w:pPr>
              <w:jc w:val="center"/>
              <w:rPr>
                <w:rFonts w:asciiTheme="minorHAnsi" w:hAnsiTheme="minorHAnsi"/>
                <w:b/>
                <w:sz w:val="16"/>
                <w:szCs w:val="16"/>
              </w:rPr>
            </w:pPr>
            <w:r w:rsidRPr="00256E9C">
              <w:rPr>
                <w:rFonts w:asciiTheme="minorHAnsi" w:hAnsiTheme="minorHAnsi"/>
                <w:b/>
                <w:sz w:val="16"/>
                <w:szCs w:val="16"/>
              </w:rPr>
              <w:t>FF100</w:t>
            </w:r>
          </w:p>
        </w:tc>
        <w:tc>
          <w:tcPr>
            <w:tcW w:w="1254" w:type="dxa"/>
            <w:gridSpan w:val="3"/>
            <w:tcBorders>
              <w:left w:val="nil"/>
              <w:right w:val="nil"/>
            </w:tcBorders>
            <w:shd w:val="clear" w:color="auto" w:fill="D9D9D9" w:themeFill="background1" w:themeFillShade="D9"/>
            <w:vAlign w:val="center"/>
          </w:tcPr>
          <w:p w:rsidR="00AC56B6" w:rsidRPr="00256E9C" w:rsidRDefault="00AC56B6" w:rsidP="00787204">
            <w:pPr>
              <w:jc w:val="center"/>
              <w:rPr>
                <w:rFonts w:asciiTheme="minorHAnsi" w:hAnsiTheme="minorHAnsi"/>
                <w:b/>
                <w:sz w:val="16"/>
                <w:szCs w:val="16"/>
              </w:rPr>
            </w:pPr>
            <w:r w:rsidRPr="00256E9C">
              <w:rPr>
                <w:rFonts w:asciiTheme="minorHAnsi" w:hAnsiTheme="minorHAnsi"/>
                <w:b/>
                <w:sz w:val="16"/>
                <w:szCs w:val="16"/>
              </w:rPr>
              <w:t>FF200</w:t>
            </w:r>
          </w:p>
        </w:tc>
        <w:tc>
          <w:tcPr>
            <w:tcW w:w="1254" w:type="dxa"/>
            <w:gridSpan w:val="2"/>
            <w:tcBorders>
              <w:left w:val="nil"/>
              <w:right w:val="nil"/>
            </w:tcBorders>
            <w:shd w:val="clear" w:color="auto" w:fill="D9D9D9" w:themeFill="background1" w:themeFillShade="D9"/>
            <w:vAlign w:val="center"/>
          </w:tcPr>
          <w:p w:rsidR="00AC56B6" w:rsidRPr="00256E9C" w:rsidRDefault="00AC56B6" w:rsidP="00787204">
            <w:pPr>
              <w:jc w:val="center"/>
              <w:rPr>
                <w:rFonts w:asciiTheme="minorHAnsi" w:hAnsiTheme="minorHAnsi"/>
                <w:b/>
                <w:sz w:val="16"/>
                <w:szCs w:val="16"/>
              </w:rPr>
            </w:pPr>
            <w:r w:rsidRPr="00256E9C">
              <w:rPr>
                <w:rFonts w:asciiTheme="minorHAnsi" w:hAnsiTheme="minorHAnsi"/>
                <w:b/>
                <w:sz w:val="16"/>
                <w:szCs w:val="16"/>
              </w:rPr>
              <w:t>PBO</w:t>
            </w:r>
          </w:p>
        </w:tc>
      </w:tr>
      <w:tr w:rsidR="00AC56B6" w:rsidRPr="009A669B" w:rsidTr="00AC56B6">
        <w:tc>
          <w:tcPr>
            <w:tcW w:w="1290" w:type="dxa"/>
            <w:tcBorders>
              <w:left w:val="nil"/>
              <w:right w:val="nil"/>
            </w:tcBorders>
          </w:tcPr>
          <w:p w:rsidR="00AC56B6" w:rsidRDefault="00A75644">
            <w:pPr>
              <w:rPr>
                <w:rFonts w:asciiTheme="minorHAnsi" w:hAnsiTheme="minorHAnsi"/>
                <w:sz w:val="16"/>
                <w:szCs w:val="16"/>
              </w:rPr>
            </w:pPr>
            <w:r>
              <w:rPr>
                <w:rFonts w:asciiTheme="minorHAnsi" w:hAnsiTheme="minorHAnsi"/>
                <w:sz w:val="16"/>
                <w:szCs w:val="16"/>
              </w:rPr>
              <w:t>Any fatal event e</w:t>
            </w:r>
            <w:r w:rsidR="00AC56B6">
              <w:rPr>
                <w:rFonts w:asciiTheme="minorHAnsi" w:hAnsiTheme="minorHAnsi"/>
                <w:sz w:val="16"/>
                <w:szCs w:val="16"/>
              </w:rPr>
              <w:t>xposure-adjusted rate</w:t>
            </w:r>
          </w:p>
        </w:tc>
        <w:tc>
          <w:tcPr>
            <w:tcW w:w="1254" w:type="dxa"/>
            <w:gridSpan w:val="2"/>
            <w:tcBorders>
              <w:left w:val="nil"/>
              <w:right w:val="nil"/>
            </w:tcBorders>
            <w:vAlign w:val="center"/>
          </w:tcPr>
          <w:p w:rsidR="00AC56B6" w:rsidRPr="00AC56B6" w:rsidRDefault="00AC56B6" w:rsidP="00787204">
            <w:pPr>
              <w:jc w:val="center"/>
              <w:rPr>
                <w:rFonts w:asciiTheme="minorHAnsi" w:hAnsiTheme="minorHAnsi"/>
                <w:sz w:val="16"/>
                <w:szCs w:val="16"/>
              </w:rPr>
            </w:pPr>
            <w:r w:rsidRPr="00AC56B6">
              <w:rPr>
                <w:rFonts w:asciiTheme="minorHAnsi" w:hAnsiTheme="minorHAnsi"/>
                <w:sz w:val="16"/>
                <w:szCs w:val="16"/>
              </w:rPr>
              <w:t>14.3</w:t>
            </w:r>
          </w:p>
        </w:tc>
        <w:tc>
          <w:tcPr>
            <w:tcW w:w="1254" w:type="dxa"/>
            <w:gridSpan w:val="3"/>
            <w:tcBorders>
              <w:left w:val="nil"/>
              <w:right w:val="nil"/>
            </w:tcBorders>
            <w:vAlign w:val="center"/>
          </w:tcPr>
          <w:p w:rsidR="00AC56B6" w:rsidRPr="00AC56B6" w:rsidRDefault="00AC56B6" w:rsidP="00787204">
            <w:pPr>
              <w:jc w:val="center"/>
              <w:rPr>
                <w:rFonts w:asciiTheme="minorHAnsi" w:hAnsiTheme="minorHAnsi"/>
                <w:sz w:val="16"/>
                <w:szCs w:val="16"/>
              </w:rPr>
            </w:pPr>
            <w:r w:rsidRPr="00AC56B6">
              <w:rPr>
                <w:rFonts w:asciiTheme="minorHAnsi" w:hAnsiTheme="minorHAnsi"/>
                <w:sz w:val="16"/>
                <w:szCs w:val="16"/>
              </w:rPr>
              <w:t>23.4</w:t>
            </w:r>
          </w:p>
        </w:tc>
        <w:tc>
          <w:tcPr>
            <w:tcW w:w="1254" w:type="dxa"/>
            <w:gridSpan w:val="2"/>
            <w:tcBorders>
              <w:left w:val="nil"/>
              <w:right w:val="nil"/>
            </w:tcBorders>
            <w:vAlign w:val="center"/>
          </w:tcPr>
          <w:p w:rsidR="00AC56B6" w:rsidRPr="00AC56B6" w:rsidRDefault="00AC56B6" w:rsidP="00787204">
            <w:pPr>
              <w:jc w:val="center"/>
              <w:rPr>
                <w:rFonts w:asciiTheme="minorHAnsi" w:hAnsiTheme="minorHAnsi"/>
                <w:sz w:val="16"/>
                <w:szCs w:val="16"/>
              </w:rPr>
            </w:pPr>
            <w:r w:rsidRPr="00AC56B6">
              <w:rPr>
                <w:rFonts w:asciiTheme="minorHAnsi" w:hAnsiTheme="minorHAnsi"/>
                <w:sz w:val="16"/>
                <w:szCs w:val="16"/>
              </w:rPr>
              <w:t>19.5</w:t>
            </w:r>
          </w:p>
        </w:tc>
        <w:tc>
          <w:tcPr>
            <w:tcW w:w="1254" w:type="dxa"/>
            <w:gridSpan w:val="3"/>
            <w:tcBorders>
              <w:left w:val="nil"/>
              <w:right w:val="nil"/>
            </w:tcBorders>
            <w:vAlign w:val="center"/>
          </w:tcPr>
          <w:p w:rsidR="00AC56B6" w:rsidRPr="00AC56B6" w:rsidRDefault="00AC56B6" w:rsidP="00787204">
            <w:pPr>
              <w:jc w:val="center"/>
              <w:rPr>
                <w:rFonts w:asciiTheme="minorHAnsi" w:hAnsiTheme="minorHAnsi"/>
                <w:sz w:val="16"/>
                <w:szCs w:val="16"/>
              </w:rPr>
            </w:pPr>
            <w:r w:rsidRPr="00AC56B6">
              <w:rPr>
                <w:rFonts w:asciiTheme="minorHAnsi" w:hAnsiTheme="minorHAnsi"/>
                <w:sz w:val="16"/>
                <w:szCs w:val="16"/>
              </w:rPr>
              <w:t>19.3</w:t>
            </w:r>
          </w:p>
        </w:tc>
        <w:tc>
          <w:tcPr>
            <w:tcW w:w="1254" w:type="dxa"/>
            <w:gridSpan w:val="2"/>
            <w:tcBorders>
              <w:left w:val="nil"/>
              <w:right w:val="nil"/>
            </w:tcBorders>
            <w:vAlign w:val="center"/>
          </w:tcPr>
          <w:p w:rsidR="00AC56B6" w:rsidRPr="00AC56B6" w:rsidRDefault="00AC56B6" w:rsidP="00787204">
            <w:pPr>
              <w:jc w:val="center"/>
              <w:rPr>
                <w:rFonts w:asciiTheme="minorHAnsi" w:hAnsiTheme="minorHAnsi"/>
                <w:sz w:val="16"/>
                <w:szCs w:val="16"/>
              </w:rPr>
            </w:pPr>
            <w:r w:rsidRPr="00AC56B6">
              <w:rPr>
                <w:rFonts w:asciiTheme="minorHAnsi" w:hAnsiTheme="minorHAnsi"/>
                <w:sz w:val="16"/>
                <w:szCs w:val="16"/>
              </w:rPr>
              <w:t>6.4</w:t>
            </w:r>
          </w:p>
        </w:tc>
        <w:tc>
          <w:tcPr>
            <w:tcW w:w="1254" w:type="dxa"/>
            <w:gridSpan w:val="3"/>
            <w:tcBorders>
              <w:left w:val="nil"/>
              <w:right w:val="nil"/>
            </w:tcBorders>
            <w:vAlign w:val="center"/>
          </w:tcPr>
          <w:p w:rsidR="00AC56B6" w:rsidRPr="00AC56B6" w:rsidRDefault="00AC56B6" w:rsidP="00787204">
            <w:pPr>
              <w:jc w:val="center"/>
              <w:rPr>
                <w:rFonts w:asciiTheme="minorHAnsi" w:hAnsiTheme="minorHAnsi"/>
                <w:sz w:val="16"/>
                <w:szCs w:val="16"/>
              </w:rPr>
            </w:pPr>
            <w:r w:rsidRPr="00AC56B6">
              <w:rPr>
                <w:rFonts w:asciiTheme="minorHAnsi" w:hAnsiTheme="minorHAnsi"/>
                <w:sz w:val="16"/>
                <w:szCs w:val="16"/>
              </w:rPr>
              <w:t>0</w:t>
            </w:r>
          </w:p>
        </w:tc>
        <w:tc>
          <w:tcPr>
            <w:tcW w:w="1254" w:type="dxa"/>
            <w:gridSpan w:val="2"/>
            <w:tcBorders>
              <w:left w:val="nil"/>
              <w:right w:val="nil"/>
            </w:tcBorders>
            <w:vAlign w:val="center"/>
          </w:tcPr>
          <w:p w:rsidR="00AC56B6" w:rsidRPr="00AC56B6" w:rsidRDefault="00AC56B6" w:rsidP="00787204">
            <w:pPr>
              <w:jc w:val="center"/>
              <w:rPr>
                <w:rFonts w:asciiTheme="minorHAnsi" w:hAnsiTheme="minorHAnsi"/>
                <w:sz w:val="16"/>
                <w:szCs w:val="16"/>
              </w:rPr>
            </w:pPr>
            <w:r w:rsidRPr="00AC56B6">
              <w:rPr>
                <w:rFonts w:asciiTheme="minorHAnsi" w:hAnsiTheme="minorHAnsi"/>
                <w:sz w:val="16"/>
                <w:szCs w:val="16"/>
              </w:rPr>
              <w:t>12.0</w:t>
            </w:r>
          </w:p>
        </w:tc>
      </w:tr>
    </w:tbl>
    <w:p w:rsidR="009A669B" w:rsidRPr="00256E9C" w:rsidRDefault="00256E9C">
      <w:pPr>
        <w:rPr>
          <w:rFonts w:asciiTheme="minorHAnsi" w:hAnsiTheme="minorHAnsi"/>
          <w:sz w:val="16"/>
          <w:szCs w:val="16"/>
        </w:rPr>
      </w:pPr>
      <w:r>
        <w:rPr>
          <w:rFonts w:asciiTheme="minorHAnsi" w:hAnsiTheme="minorHAnsi"/>
          <w:sz w:val="16"/>
          <w:szCs w:val="16"/>
        </w:rPr>
        <w:t>Data obtained from FDA review</w:t>
      </w:r>
    </w:p>
    <w:p w:rsidR="009A669B" w:rsidRDefault="009A669B">
      <w:pPr>
        <w:rPr>
          <w:sz w:val="20"/>
          <w:szCs w:val="20"/>
        </w:rPr>
      </w:pPr>
    </w:p>
    <w:p w:rsidR="002938A0" w:rsidRPr="00256E9C" w:rsidRDefault="002938A0" w:rsidP="002938A0">
      <w:pPr>
        <w:rPr>
          <w:sz w:val="20"/>
          <w:szCs w:val="20"/>
        </w:rPr>
      </w:pPr>
      <w:r>
        <w:rPr>
          <w:sz w:val="20"/>
          <w:szCs w:val="20"/>
        </w:rPr>
        <w:t>Adverse events reported in the 6-month and 1-month studies with an incidence of ≥ 3% were nasopharyngitis, headache, upper respiratory tract infection, and oral/</w:t>
      </w:r>
      <w:proofErr w:type="spellStart"/>
      <w:r>
        <w:rPr>
          <w:sz w:val="20"/>
          <w:szCs w:val="20"/>
        </w:rPr>
        <w:t>oropharyngeal</w:t>
      </w:r>
      <w:proofErr w:type="spellEnd"/>
      <w:r>
        <w:rPr>
          <w:sz w:val="20"/>
          <w:szCs w:val="20"/>
        </w:rPr>
        <w:t xml:space="preserve"> candidiasis (</w:t>
      </w:r>
      <w:r w:rsidR="00970B3D">
        <w:rPr>
          <w:b/>
          <w:sz w:val="20"/>
          <w:szCs w:val="20"/>
          <w:u w:val="single"/>
        </w:rPr>
        <w:t>Table 8</w:t>
      </w:r>
      <w:r>
        <w:rPr>
          <w:sz w:val="20"/>
          <w:szCs w:val="20"/>
        </w:rPr>
        <w:t>).  The incidence of these AEs, except for headache, was higher in the 1-year studies.</w:t>
      </w:r>
    </w:p>
    <w:p w:rsidR="002938A0" w:rsidRDefault="002938A0">
      <w:pPr>
        <w:rPr>
          <w:sz w:val="20"/>
          <w:szCs w:val="20"/>
        </w:rPr>
      </w:pPr>
    </w:p>
    <w:p w:rsidR="00C21DFE" w:rsidRDefault="009D079B">
      <w:pPr>
        <w:rPr>
          <w:sz w:val="20"/>
          <w:szCs w:val="20"/>
        </w:rPr>
      </w:pPr>
      <w:r w:rsidRPr="00256E9C">
        <w:rPr>
          <w:rFonts w:asciiTheme="minorHAnsi" w:hAnsiTheme="minorHAnsi"/>
          <w:b/>
          <w:sz w:val="20"/>
          <w:szCs w:val="20"/>
        </w:rPr>
        <w:t>Table</w:t>
      </w:r>
      <w:r w:rsidR="00970B3D">
        <w:rPr>
          <w:rFonts w:asciiTheme="minorHAnsi" w:hAnsiTheme="minorHAnsi"/>
          <w:b/>
          <w:sz w:val="20"/>
          <w:szCs w:val="20"/>
        </w:rPr>
        <w:t xml:space="preserve"> 8</w:t>
      </w:r>
      <w:r w:rsidRPr="00256E9C">
        <w:rPr>
          <w:rFonts w:asciiTheme="minorHAnsi" w:hAnsiTheme="minorHAnsi"/>
          <w:b/>
          <w:sz w:val="20"/>
          <w:szCs w:val="20"/>
        </w:rPr>
        <w:t>:  Adverse</w:t>
      </w:r>
      <w:r>
        <w:rPr>
          <w:rFonts w:asciiTheme="minorHAnsi" w:hAnsiTheme="minorHAnsi"/>
          <w:b/>
          <w:sz w:val="20"/>
          <w:szCs w:val="20"/>
        </w:rPr>
        <w:t xml:space="preserve"> Events with Incidence ≥3%:  </w:t>
      </w:r>
      <w:r w:rsidRPr="00256E9C">
        <w:rPr>
          <w:rFonts w:asciiTheme="minorHAnsi" w:hAnsiTheme="minorHAnsi"/>
          <w:b/>
          <w:sz w:val="20"/>
          <w:szCs w:val="20"/>
        </w:rPr>
        <w:t xml:space="preserve">Integrated </w:t>
      </w:r>
      <w:r w:rsidR="00EC46E9">
        <w:rPr>
          <w:rFonts w:asciiTheme="minorHAnsi" w:hAnsiTheme="minorHAnsi"/>
          <w:b/>
          <w:sz w:val="20"/>
          <w:szCs w:val="20"/>
        </w:rPr>
        <w:t>Results for 6-month and 1-year Trials</w:t>
      </w:r>
    </w:p>
    <w:tbl>
      <w:tblPr>
        <w:tblStyle w:val="TableGrid"/>
        <w:tblW w:w="10068" w:type="dxa"/>
        <w:tblInd w:w="-72" w:type="dxa"/>
        <w:tblLook w:val="04A0" w:firstRow="1" w:lastRow="0" w:firstColumn="1" w:lastColumn="0" w:noHBand="0" w:noVBand="1"/>
      </w:tblPr>
      <w:tblGrid>
        <w:gridCol w:w="1504"/>
        <w:gridCol w:w="788"/>
        <w:gridCol w:w="779"/>
        <w:gridCol w:w="787"/>
        <w:gridCol w:w="765"/>
        <w:gridCol w:w="779"/>
        <w:gridCol w:w="779"/>
        <w:gridCol w:w="769"/>
        <w:gridCol w:w="787"/>
        <w:gridCol w:w="779"/>
        <w:gridCol w:w="787"/>
        <w:gridCol w:w="765"/>
      </w:tblGrid>
      <w:tr w:rsidR="006327D3" w:rsidRPr="009A669B" w:rsidTr="006327D3">
        <w:tc>
          <w:tcPr>
            <w:tcW w:w="1504" w:type="dxa"/>
            <w:vMerge w:val="restart"/>
            <w:tcBorders>
              <w:left w:val="nil"/>
              <w:right w:val="nil"/>
            </w:tcBorders>
            <w:shd w:val="clear" w:color="auto" w:fill="D9D9D9" w:themeFill="background1" w:themeFillShade="D9"/>
          </w:tcPr>
          <w:p w:rsidR="006327D3" w:rsidRPr="00256E9C" w:rsidRDefault="006327D3" w:rsidP="00783D10">
            <w:pPr>
              <w:rPr>
                <w:rFonts w:asciiTheme="minorHAnsi" w:hAnsiTheme="minorHAnsi"/>
                <w:b/>
                <w:sz w:val="16"/>
                <w:szCs w:val="16"/>
              </w:rPr>
            </w:pPr>
          </w:p>
        </w:tc>
        <w:tc>
          <w:tcPr>
            <w:tcW w:w="5446" w:type="dxa"/>
            <w:gridSpan w:val="7"/>
            <w:tcBorders>
              <w:left w:val="nil"/>
              <w:right w:val="nil"/>
            </w:tcBorders>
            <w:shd w:val="clear" w:color="auto" w:fill="D9D9D9" w:themeFill="background1" w:themeFillShade="D9"/>
            <w:vAlign w:val="center"/>
          </w:tcPr>
          <w:p w:rsidR="006327D3" w:rsidRPr="00256E9C" w:rsidRDefault="006327D3" w:rsidP="00EC46E9">
            <w:pPr>
              <w:jc w:val="center"/>
              <w:rPr>
                <w:rFonts w:asciiTheme="minorHAnsi" w:hAnsiTheme="minorHAnsi"/>
                <w:b/>
                <w:sz w:val="16"/>
                <w:szCs w:val="16"/>
              </w:rPr>
            </w:pPr>
            <w:r>
              <w:rPr>
                <w:rFonts w:asciiTheme="minorHAnsi" w:hAnsiTheme="minorHAnsi"/>
                <w:b/>
                <w:sz w:val="16"/>
                <w:szCs w:val="16"/>
              </w:rPr>
              <w:t xml:space="preserve">6-month </w:t>
            </w:r>
            <w:r w:rsidR="00EC46E9">
              <w:rPr>
                <w:rFonts w:asciiTheme="minorHAnsi" w:hAnsiTheme="minorHAnsi"/>
                <w:b/>
                <w:sz w:val="16"/>
                <w:szCs w:val="16"/>
              </w:rPr>
              <w:t>Trials</w:t>
            </w:r>
          </w:p>
        </w:tc>
        <w:tc>
          <w:tcPr>
            <w:tcW w:w="3118" w:type="dxa"/>
            <w:gridSpan w:val="4"/>
            <w:tcBorders>
              <w:left w:val="nil"/>
              <w:right w:val="nil"/>
            </w:tcBorders>
            <w:shd w:val="clear" w:color="auto" w:fill="D9D9D9" w:themeFill="background1" w:themeFillShade="D9"/>
            <w:vAlign w:val="center"/>
          </w:tcPr>
          <w:p w:rsidR="006327D3" w:rsidRPr="00256E9C" w:rsidRDefault="006327D3" w:rsidP="00EC46E9">
            <w:pPr>
              <w:jc w:val="center"/>
              <w:rPr>
                <w:rFonts w:asciiTheme="minorHAnsi" w:hAnsiTheme="minorHAnsi"/>
                <w:b/>
                <w:sz w:val="16"/>
                <w:szCs w:val="16"/>
              </w:rPr>
            </w:pPr>
            <w:r>
              <w:rPr>
                <w:rFonts w:asciiTheme="minorHAnsi" w:hAnsiTheme="minorHAnsi"/>
                <w:b/>
                <w:sz w:val="16"/>
                <w:szCs w:val="16"/>
              </w:rPr>
              <w:t xml:space="preserve">1-year </w:t>
            </w:r>
            <w:r w:rsidR="00EC46E9">
              <w:rPr>
                <w:rFonts w:asciiTheme="minorHAnsi" w:hAnsiTheme="minorHAnsi"/>
                <w:b/>
                <w:sz w:val="16"/>
                <w:szCs w:val="16"/>
              </w:rPr>
              <w:t>Trials</w:t>
            </w:r>
          </w:p>
        </w:tc>
      </w:tr>
      <w:tr w:rsidR="006327D3" w:rsidRPr="009A669B" w:rsidTr="00783D10">
        <w:tc>
          <w:tcPr>
            <w:tcW w:w="1504" w:type="dxa"/>
            <w:vMerge/>
            <w:tcBorders>
              <w:left w:val="nil"/>
              <w:right w:val="single" w:sz="4" w:space="0" w:color="auto"/>
            </w:tcBorders>
            <w:shd w:val="clear" w:color="auto" w:fill="D9D9D9" w:themeFill="background1" w:themeFillShade="D9"/>
          </w:tcPr>
          <w:p w:rsidR="006327D3" w:rsidRPr="00256E9C" w:rsidRDefault="006327D3" w:rsidP="00783D10">
            <w:pPr>
              <w:rPr>
                <w:rFonts w:asciiTheme="minorHAnsi" w:hAnsiTheme="minorHAnsi"/>
                <w:b/>
                <w:sz w:val="16"/>
                <w:szCs w:val="16"/>
              </w:rPr>
            </w:pPr>
          </w:p>
        </w:tc>
        <w:tc>
          <w:tcPr>
            <w:tcW w:w="788" w:type="dxa"/>
            <w:tcBorders>
              <w:left w:val="single" w:sz="4" w:space="0" w:color="auto"/>
              <w:right w:val="single" w:sz="4" w:space="0" w:color="auto"/>
            </w:tcBorders>
            <w:shd w:val="clear" w:color="auto" w:fill="D9D9D9" w:themeFill="background1" w:themeFillShade="D9"/>
            <w:vAlign w:val="center"/>
          </w:tcPr>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FF/VI</w:t>
            </w:r>
          </w:p>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100/25</w:t>
            </w:r>
          </w:p>
        </w:tc>
        <w:tc>
          <w:tcPr>
            <w:tcW w:w="779" w:type="dxa"/>
            <w:tcBorders>
              <w:left w:val="single" w:sz="4" w:space="0" w:color="auto"/>
              <w:right w:val="nil"/>
            </w:tcBorders>
            <w:shd w:val="clear" w:color="auto" w:fill="D9D9D9" w:themeFill="background1" w:themeFillShade="D9"/>
            <w:vAlign w:val="center"/>
          </w:tcPr>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FF/VI</w:t>
            </w:r>
          </w:p>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50/25</w:t>
            </w:r>
          </w:p>
        </w:tc>
        <w:tc>
          <w:tcPr>
            <w:tcW w:w="787" w:type="dxa"/>
            <w:tcBorders>
              <w:left w:val="nil"/>
              <w:right w:val="nil"/>
            </w:tcBorders>
            <w:shd w:val="clear" w:color="auto" w:fill="D9D9D9" w:themeFill="background1" w:themeFillShade="D9"/>
            <w:vAlign w:val="center"/>
          </w:tcPr>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FF/VI</w:t>
            </w:r>
          </w:p>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200/25</w:t>
            </w:r>
          </w:p>
        </w:tc>
        <w:tc>
          <w:tcPr>
            <w:tcW w:w="765" w:type="dxa"/>
            <w:tcBorders>
              <w:left w:val="nil"/>
              <w:right w:val="nil"/>
            </w:tcBorders>
            <w:shd w:val="clear" w:color="auto" w:fill="D9D9D9" w:themeFill="background1" w:themeFillShade="D9"/>
            <w:vAlign w:val="center"/>
          </w:tcPr>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VI 25</w:t>
            </w:r>
          </w:p>
        </w:tc>
        <w:tc>
          <w:tcPr>
            <w:tcW w:w="779" w:type="dxa"/>
            <w:tcBorders>
              <w:left w:val="nil"/>
              <w:right w:val="nil"/>
            </w:tcBorders>
            <w:shd w:val="clear" w:color="auto" w:fill="D9D9D9" w:themeFill="background1" w:themeFillShade="D9"/>
            <w:vAlign w:val="center"/>
          </w:tcPr>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FF100</w:t>
            </w:r>
          </w:p>
        </w:tc>
        <w:tc>
          <w:tcPr>
            <w:tcW w:w="779" w:type="dxa"/>
            <w:tcBorders>
              <w:left w:val="nil"/>
              <w:right w:val="nil"/>
            </w:tcBorders>
            <w:shd w:val="clear" w:color="auto" w:fill="D9D9D9" w:themeFill="background1" w:themeFillShade="D9"/>
            <w:vAlign w:val="center"/>
          </w:tcPr>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FF200</w:t>
            </w:r>
          </w:p>
        </w:tc>
        <w:tc>
          <w:tcPr>
            <w:tcW w:w="769" w:type="dxa"/>
            <w:tcBorders>
              <w:left w:val="nil"/>
              <w:right w:val="single" w:sz="4" w:space="0" w:color="auto"/>
            </w:tcBorders>
            <w:shd w:val="clear" w:color="auto" w:fill="D9D9D9" w:themeFill="background1" w:themeFillShade="D9"/>
            <w:vAlign w:val="center"/>
          </w:tcPr>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PBO</w:t>
            </w:r>
          </w:p>
        </w:tc>
        <w:tc>
          <w:tcPr>
            <w:tcW w:w="787" w:type="dxa"/>
            <w:tcBorders>
              <w:left w:val="single" w:sz="4" w:space="0" w:color="auto"/>
              <w:right w:val="single" w:sz="4" w:space="0" w:color="auto"/>
            </w:tcBorders>
            <w:shd w:val="clear" w:color="auto" w:fill="D9D9D9" w:themeFill="background1" w:themeFillShade="D9"/>
            <w:vAlign w:val="center"/>
          </w:tcPr>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FF/VI</w:t>
            </w:r>
          </w:p>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100/25</w:t>
            </w:r>
          </w:p>
        </w:tc>
        <w:tc>
          <w:tcPr>
            <w:tcW w:w="779" w:type="dxa"/>
            <w:tcBorders>
              <w:left w:val="single" w:sz="4" w:space="0" w:color="auto"/>
              <w:right w:val="nil"/>
            </w:tcBorders>
            <w:shd w:val="clear" w:color="auto" w:fill="D9D9D9" w:themeFill="background1" w:themeFillShade="D9"/>
            <w:vAlign w:val="center"/>
          </w:tcPr>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FF/VI</w:t>
            </w:r>
          </w:p>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50/25</w:t>
            </w:r>
          </w:p>
        </w:tc>
        <w:tc>
          <w:tcPr>
            <w:tcW w:w="787" w:type="dxa"/>
            <w:tcBorders>
              <w:left w:val="nil"/>
              <w:right w:val="nil"/>
            </w:tcBorders>
            <w:shd w:val="clear" w:color="auto" w:fill="D9D9D9" w:themeFill="background1" w:themeFillShade="D9"/>
            <w:vAlign w:val="center"/>
          </w:tcPr>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FF/VI</w:t>
            </w:r>
          </w:p>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200/25</w:t>
            </w:r>
          </w:p>
        </w:tc>
        <w:tc>
          <w:tcPr>
            <w:tcW w:w="765" w:type="dxa"/>
            <w:tcBorders>
              <w:left w:val="nil"/>
              <w:right w:val="nil"/>
            </w:tcBorders>
            <w:shd w:val="clear" w:color="auto" w:fill="D9D9D9" w:themeFill="background1" w:themeFillShade="D9"/>
            <w:vAlign w:val="center"/>
          </w:tcPr>
          <w:p w:rsidR="006327D3" w:rsidRPr="00256E9C" w:rsidRDefault="006327D3" w:rsidP="00783D10">
            <w:pPr>
              <w:jc w:val="center"/>
              <w:rPr>
                <w:rFonts w:asciiTheme="minorHAnsi" w:hAnsiTheme="minorHAnsi"/>
                <w:b/>
                <w:sz w:val="16"/>
                <w:szCs w:val="16"/>
              </w:rPr>
            </w:pPr>
            <w:r w:rsidRPr="00256E9C">
              <w:rPr>
                <w:rFonts w:asciiTheme="minorHAnsi" w:hAnsiTheme="minorHAnsi"/>
                <w:b/>
                <w:sz w:val="16"/>
                <w:szCs w:val="16"/>
              </w:rPr>
              <w:t>VI 25</w:t>
            </w:r>
          </w:p>
        </w:tc>
      </w:tr>
      <w:tr w:rsidR="006327D3" w:rsidRPr="009A669B" w:rsidTr="00783D10">
        <w:tc>
          <w:tcPr>
            <w:tcW w:w="1504" w:type="dxa"/>
            <w:tcBorders>
              <w:left w:val="nil"/>
              <w:right w:val="single" w:sz="4" w:space="0" w:color="auto"/>
            </w:tcBorders>
          </w:tcPr>
          <w:p w:rsidR="006327D3" w:rsidRDefault="006327D3" w:rsidP="00783D10">
            <w:pPr>
              <w:rPr>
                <w:rFonts w:asciiTheme="minorHAnsi" w:hAnsiTheme="minorHAnsi"/>
                <w:sz w:val="16"/>
                <w:szCs w:val="16"/>
              </w:rPr>
            </w:pPr>
            <w:r>
              <w:rPr>
                <w:rFonts w:asciiTheme="minorHAnsi" w:hAnsiTheme="minorHAnsi"/>
                <w:sz w:val="16"/>
                <w:szCs w:val="16"/>
              </w:rPr>
              <w:t>N</w:t>
            </w:r>
          </w:p>
        </w:tc>
        <w:tc>
          <w:tcPr>
            <w:tcW w:w="788" w:type="dxa"/>
            <w:tcBorders>
              <w:left w:val="single" w:sz="4" w:space="0" w:color="auto"/>
              <w:right w:val="single" w:sz="4" w:space="0" w:color="auto"/>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410</w:t>
            </w:r>
          </w:p>
        </w:tc>
        <w:tc>
          <w:tcPr>
            <w:tcW w:w="779" w:type="dxa"/>
            <w:tcBorders>
              <w:left w:val="single" w:sz="4" w:space="0" w:color="auto"/>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206</w:t>
            </w:r>
          </w:p>
        </w:tc>
        <w:tc>
          <w:tcPr>
            <w:tcW w:w="787" w:type="dxa"/>
            <w:tcBorders>
              <w:left w:val="nil"/>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205</w:t>
            </w:r>
          </w:p>
        </w:tc>
        <w:tc>
          <w:tcPr>
            <w:tcW w:w="765" w:type="dxa"/>
            <w:tcBorders>
              <w:left w:val="nil"/>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408</w:t>
            </w:r>
          </w:p>
        </w:tc>
        <w:tc>
          <w:tcPr>
            <w:tcW w:w="779" w:type="dxa"/>
            <w:tcBorders>
              <w:left w:val="nil"/>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410</w:t>
            </w:r>
          </w:p>
        </w:tc>
        <w:tc>
          <w:tcPr>
            <w:tcW w:w="779" w:type="dxa"/>
            <w:tcBorders>
              <w:left w:val="nil"/>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203</w:t>
            </w:r>
          </w:p>
        </w:tc>
        <w:tc>
          <w:tcPr>
            <w:tcW w:w="769" w:type="dxa"/>
            <w:tcBorders>
              <w:left w:val="nil"/>
              <w:right w:val="single" w:sz="4" w:space="0" w:color="auto"/>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412</w:t>
            </w:r>
          </w:p>
        </w:tc>
        <w:tc>
          <w:tcPr>
            <w:tcW w:w="787" w:type="dxa"/>
            <w:tcBorders>
              <w:left w:val="single" w:sz="4" w:space="0" w:color="auto"/>
              <w:right w:val="single" w:sz="4" w:space="0" w:color="auto"/>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806</w:t>
            </w:r>
          </w:p>
        </w:tc>
        <w:tc>
          <w:tcPr>
            <w:tcW w:w="779" w:type="dxa"/>
            <w:tcBorders>
              <w:left w:val="single" w:sz="4" w:space="0" w:color="auto"/>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820</w:t>
            </w:r>
          </w:p>
        </w:tc>
        <w:tc>
          <w:tcPr>
            <w:tcW w:w="787" w:type="dxa"/>
            <w:tcBorders>
              <w:left w:val="nil"/>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811</w:t>
            </w:r>
          </w:p>
        </w:tc>
        <w:tc>
          <w:tcPr>
            <w:tcW w:w="765" w:type="dxa"/>
            <w:tcBorders>
              <w:left w:val="nil"/>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818</w:t>
            </w:r>
          </w:p>
        </w:tc>
      </w:tr>
      <w:tr w:rsidR="006327D3" w:rsidRPr="009A669B" w:rsidTr="00783D10">
        <w:tc>
          <w:tcPr>
            <w:tcW w:w="1504" w:type="dxa"/>
            <w:tcBorders>
              <w:left w:val="nil"/>
              <w:right w:val="single" w:sz="4" w:space="0" w:color="auto"/>
            </w:tcBorders>
          </w:tcPr>
          <w:p w:rsidR="006327D3" w:rsidRPr="009A669B" w:rsidRDefault="006327D3" w:rsidP="00783D10">
            <w:pPr>
              <w:rPr>
                <w:rFonts w:asciiTheme="minorHAnsi" w:hAnsiTheme="minorHAnsi"/>
                <w:sz w:val="16"/>
                <w:szCs w:val="16"/>
              </w:rPr>
            </w:pPr>
            <w:r>
              <w:rPr>
                <w:rFonts w:asciiTheme="minorHAnsi" w:hAnsiTheme="minorHAnsi"/>
                <w:sz w:val="16"/>
                <w:szCs w:val="16"/>
              </w:rPr>
              <w:t>Nasopharyngitis</w:t>
            </w:r>
          </w:p>
        </w:tc>
        <w:tc>
          <w:tcPr>
            <w:tcW w:w="788" w:type="dxa"/>
            <w:tcBorders>
              <w:left w:val="single" w:sz="4" w:space="0" w:color="auto"/>
              <w:right w:val="single" w:sz="4" w:space="0" w:color="auto"/>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35 (9)</w:t>
            </w:r>
          </w:p>
        </w:tc>
        <w:tc>
          <w:tcPr>
            <w:tcW w:w="779" w:type="dxa"/>
            <w:tcBorders>
              <w:left w:val="single" w:sz="4" w:space="0" w:color="auto"/>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14 (7)</w:t>
            </w:r>
          </w:p>
        </w:tc>
        <w:tc>
          <w:tcPr>
            <w:tcW w:w="787" w:type="dxa"/>
            <w:tcBorders>
              <w:left w:val="nil"/>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13 (6)</w:t>
            </w:r>
          </w:p>
        </w:tc>
        <w:tc>
          <w:tcPr>
            <w:tcW w:w="765"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41 (10)</w:t>
            </w:r>
          </w:p>
        </w:tc>
        <w:tc>
          <w:tcPr>
            <w:tcW w:w="779"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32 (8)</w:t>
            </w:r>
          </w:p>
        </w:tc>
        <w:tc>
          <w:tcPr>
            <w:tcW w:w="779"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20 (10)</w:t>
            </w:r>
          </w:p>
        </w:tc>
        <w:tc>
          <w:tcPr>
            <w:tcW w:w="769" w:type="dxa"/>
            <w:tcBorders>
              <w:left w:val="nil"/>
              <w:right w:val="single" w:sz="4" w:space="0" w:color="auto"/>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31 (8)</w:t>
            </w:r>
          </w:p>
        </w:tc>
        <w:tc>
          <w:tcPr>
            <w:tcW w:w="787" w:type="dxa"/>
            <w:tcBorders>
              <w:left w:val="single" w:sz="4" w:space="0" w:color="auto"/>
              <w:right w:val="single" w:sz="4" w:space="0" w:color="auto"/>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128 (16)</w:t>
            </w:r>
          </w:p>
        </w:tc>
        <w:tc>
          <w:tcPr>
            <w:tcW w:w="779" w:type="dxa"/>
            <w:tcBorders>
              <w:left w:val="single" w:sz="4" w:space="0" w:color="auto"/>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112 (14)</w:t>
            </w:r>
          </w:p>
        </w:tc>
        <w:tc>
          <w:tcPr>
            <w:tcW w:w="787"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158 (19)</w:t>
            </w:r>
          </w:p>
        </w:tc>
        <w:tc>
          <w:tcPr>
            <w:tcW w:w="765"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112 (14)</w:t>
            </w:r>
          </w:p>
        </w:tc>
      </w:tr>
      <w:tr w:rsidR="006327D3" w:rsidRPr="009A669B" w:rsidTr="00783D10">
        <w:tc>
          <w:tcPr>
            <w:tcW w:w="1504" w:type="dxa"/>
            <w:tcBorders>
              <w:left w:val="nil"/>
              <w:right w:val="single" w:sz="4" w:space="0" w:color="auto"/>
            </w:tcBorders>
          </w:tcPr>
          <w:p w:rsidR="006327D3" w:rsidRPr="009A669B" w:rsidRDefault="006327D3" w:rsidP="00783D10">
            <w:pPr>
              <w:rPr>
                <w:rFonts w:asciiTheme="minorHAnsi" w:hAnsiTheme="minorHAnsi"/>
                <w:sz w:val="16"/>
                <w:szCs w:val="16"/>
              </w:rPr>
            </w:pPr>
            <w:r>
              <w:rPr>
                <w:rFonts w:asciiTheme="minorHAnsi" w:hAnsiTheme="minorHAnsi"/>
                <w:sz w:val="16"/>
                <w:szCs w:val="16"/>
              </w:rPr>
              <w:t>Headache</w:t>
            </w:r>
          </w:p>
        </w:tc>
        <w:tc>
          <w:tcPr>
            <w:tcW w:w="788" w:type="dxa"/>
            <w:tcBorders>
              <w:left w:val="single" w:sz="4" w:space="0" w:color="auto"/>
              <w:right w:val="single" w:sz="4" w:space="0" w:color="auto"/>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29 (7)</w:t>
            </w:r>
          </w:p>
        </w:tc>
        <w:tc>
          <w:tcPr>
            <w:tcW w:w="779" w:type="dxa"/>
            <w:tcBorders>
              <w:left w:val="single" w:sz="4" w:space="0" w:color="auto"/>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12 (6)</w:t>
            </w:r>
          </w:p>
        </w:tc>
        <w:tc>
          <w:tcPr>
            <w:tcW w:w="787" w:type="dxa"/>
            <w:tcBorders>
              <w:left w:val="nil"/>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15 (7)</w:t>
            </w:r>
          </w:p>
        </w:tc>
        <w:tc>
          <w:tcPr>
            <w:tcW w:w="765"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36 (9)</w:t>
            </w:r>
          </w:p>
        </w:tc>
        <w:tc>
          <w:tcPr>
            <w:tcW w:w="779"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30 (7)</w:t>
            </w:r>
          </w:p>
        </w:tc>
        <w:tc>
          <w:tcPr>
            <w:tcW w:w="779"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11 (5)</w:t>
            </w:r>
          </w:p>
        </w:tc>
        <w:tc>
          <w:tcPr>
            <w:tcW w:w="769" w:type="dxa"/>
            <w:tcBorders>
              <w:left w:val="nil"/>
              <w:right w:val="single" w:sz="4" w:space="0" w:color="auto"/>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20 (5)</w:t>
            </w:r>
          </w:p>
        </w:tc>
        <w:tc>
          <w:tcPr>
            <w:tcW w:w="787" w:type="dxa"/>
            <w:tcBorders>
              <w:left w:val="single" w:sz="4" w:space="0" w:color="auto"/>
              <w:right w:val="single" w:sz="4" w:space="0" w:color="auto"/>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57 (7)</w:t>
            </w:r>
          </w:p>
        </w:tc>
        <w:tc>
          <w:tcPr>
            <w:tcW w:w="779" w:type="dxa"/>
            <w:tcBorders>
              <w:left w:val="single" w:sz="4" w:space="0" w:color="auto"/>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61 (7)</w:t>
            </w:r>
          </w:p>
        </w:tc>
        <w:tc>
          <w:tcPr>
            <w:tcW w:w="787"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67 (8)</w:t>
            </w:r>
          </w:p>
        </w:tc>
        <w:tc>
          <w:tcPr>
            <w:tcW w:w="765"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60 (7)</w:t>
            </w:r>
          </w:p>
        </w:tc>
      </w:tr>
      <w:tr w:rsidR="006327D3" w:rsidRPr="009A669B" w:rsidTr="00783D10">
        <w:tc>
          <w:tcPr>
            <w:tcW w:w="1504" w:type="dxa"/>
            <w:tcBorders>
              <w:left w:val="nil"/>
              <w:right w:val="single" w:sz="4" w:space="0" w:color="auto"/>
            </w:tcBorders>
          </w:tcPr>
          <w:p w:rsidR="006327D3" w:rsidRDefault="006327D3" w:rsidP="00783D10">
            <w:pPr>
              <w:rPr>
                <w:rFonts w:asciiTheme="minorHAnsi" w:hAnsiTheme="minorHAnsi"/>
                <w:sz w:val="16"/>
                <w:szCs w:val="16"/>
              </w:rPr>
            </w:pPr>
            <w:r>
              <w:rPr>
                <w:rFonts w:asciiTheme="minorHAnsi" w:hAnsiTheme="minorHAnsi"/>
                <w:sz w:val="16"/>
                <w:szCs w:val="16"/>
              </w:rPr>
              <w:t>URI</w:t>
            </w:r>
          </w:p>
        </w:tc>
        <w:tc>
          <w:tcPr>
            <w:tcW w:w="788" w:type="dxa"/>
            <w:tcBorders>
              <w:left w:val="single" w:sz="4" w:space="0" w:color="auto"/>
              <w:right w:val="single" w:sz="4" w:space="0" w:color="auto"/>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29 (7)</w:t>
            </w:r>
          </w:p>
        </w:tc>
        <w:tc>
          <w:tcPr>
            <w:tcW w:w="779" w:type="dxa"/>
            <w:tcBorders>
              <w:left w:val="single" w:sz="4" w:space="0" w:color="auto"/>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16 (8)</w:t>
            </w:r>
          </w:p>
        </w:tc>
        <w:tc>
          <w:tcPr>
            <w:tcW w:w="787"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7 (3)</w:t>
            </w:r>
          </w:p>
        </w:tc>
        <w:tc>
          <w:tcPr>
            <w:tcW w:w="765"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20 (5)</w:t>
            </w:r>
          </w:p>
        </w:tc>
        <w:tc>
          <w:tcPr>
            <w:tcW w:w="779"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16 (4)</w:t>
            </w:r>
          </w:p>
        </w:tc>
        <w:tc>
          <w:tcPr>
            <w:tcW w:w="779"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5 (2)</w:t>
            </w:r>
          </w:p>
        </w:tc>
        <w:tc>
          <w:tcPr>
            <w:tcW w:w="769" w:type="dxa"/>
            <w:tcBorders>
              <w:left w:val="nil"/>
              <w:right w:val="single" w:sz="4" w:space="0" w:color="auto"/>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13 (3)</w:t>
            </w:r>
          </w:p>
        </w:tc>
        <w:tc>
          <w:tcPr>
            <w:tcW w:w="787" w:type="dxa"/>
            <w:tcBorders>
              <w:left w:val="single" w:sz="4" w:space="0" w:color="auto"/>
              <w:right w:val="single" w:sz="4" w:space="0" w:color="auto"/>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90 (11)</w:t>
            </w:r>
          </w:p>
        </w:tc>
        <w:tc>
          <w:tcPr>
            <w:tcW w:w="779" w:type="dxa"/>
            <w:tcBorders>
              <w:left w:val="single" w:sz="4" w:space="0" w:color="auto"/>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84 (10)</w:t>
            </w:r>
          </w:p>
        </w:tc>
        <w:tc>
          <w:tcPr>
            <w:tcW w:w="787"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75 (9)</w:t>
            </w:r>
          </w:p>
        </w:tc>
        <w:tc>
          <w:tcPr>
            <w:tcW w:w="765"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78 (10)</w:t>
            </w:r>
          </w:p>
        </w:tc>
      </w:tr>
      <w:tr w:rsidR="006327D3" w:rsidRPr="009A669B" w:rsidTr="00783D10">
        <w:tc>
          <w:tcPr>
            <w:tcW w:w="1504" w:type="dxa"/>
            <w:tcBorders>
              <w:left w:val="nil"/>
              <w:right w:val="single" w:sz="4" w:space="0" w:color="auto"/>
            </w:tcBorders>
          </w:tcPr>
          <w:p w:rsidR="006327D3" w:rsidRDefault="006327D3" w:rsidP="00783D10">
            <w:pPr>
              <w:rPr>
                <w:rFonts w:asciiTheme="minorHAnsi" w:hAnsiTheme="minorHAnsi"/>
                <w:sz w:val="16"/>
                <w:szCs w:val="16"/>
              </w:rPr>
            </w:pPr>
            <w:r>
              <w:rPr>
                <w:rFonts w:asciiTheme="minorHAnsi" w:hAnsiTheme="minorHAnsi"/>
                <w:sz w:val="16"/>
                <w:szCs w:val="16"/>
              </w:rPr>
              <w:t>Oral/</w:t>
            </w:r>
            <w:proofErr w:type="spellStart"/>
            <w:r>
              <w:rPr>
                <w:rFonts w:asciiTheme="minorHAnsi" w:hAnsiTheme="minorHAnsi"/>
                <w:sz w:val="16"/>
                <w:szCs w:val="16"/>
              </w:rPr>
              <w:t>oropharyngeal</w:t>
            </w:r>
            <w:proofErr w:type="spellEnd"/>
          </w:p>
          <w:p w:rsidR="006327D3" w:rsidRDefault="006327D3" w:rsidP="00783D10">
            <w:pPr>
              <w:rPr>
                <w:rFonts w:asciiTheme="minorHAnsi" w:hAnsiTheme="minorHAnsi"/>
                <w:sz w:val="16"/>
                <w:szCs w:val="16"/>
              </w:rPr>
            </w:pPr>
            <w:r>
              <w:rPr>
                <w:rFonts w:asciiTheme="minorHAnsi" w:hAnsiTheme="minorHAnsi"/>
                <w:sz w:val="16"/>
                <w:szCs w:val="16"/>
              </w:rPr>
              <w:t>candidiasis</w:t>
            </w:r>
          </w:p>
        </w:tc>
        <w:tc>
          <w:tcPr>
            <w:tcW w:w="788" w:type="dxa"/>
            <w:tcBorders>
              <w:left w:val="single" w:sz="4" w:space="0" w:color="auto"/>
              <w:right w:val="single" w:sz="4" w:space="0" w:color="auto"/>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22 (5)</w:t>
            </w:r>
          </w:p>
        </w:tc>
        <w:tc>
          <w:tcPr>
            <w:tcW w:w="779" w:type="dxa"/>
            <w:tcBorders>
              <w:left w:val="single" w:sz="4" w:space="0" w:color="auto"/>
              <w:right w:val="nil"/>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20 (10)</w:t>
            </w:r>
          </w:p>
        </w:tc>
        <w:tc>
          <w:tcPr>
            <w:tcW w:w="787"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9 (4)</w:t>
            </w:r>
          </w:p>
        </w:tc>
        <w:tc>
          <w:tcPr>
            <w:tcW w:w="765"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9 (2)</w:t>
            </w:r>
          </w:p>
        </w:tc>
        <w:tc>
          <w:tcPr>
            <w:tcW w:w="779"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13 (3)</w:t>
            </w:r>
          </w:p>
        </w:tc>
        <w:tc>
          <w:tcPr>
            <w:tcW w:w="779"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13 (6)</w:t>
            </w:r>
          </w:p>
        </w:tc>
        <w:tc>
          <w:tcPr>
            <w:tcW w:w="769" w:type="dxa"/>
            <w:tcBorders>
              <w:left w:val="nil"/>
              <w:right w:val="single" w:sz="4" w:space="0" w:color="auto"/>
            </w:tcBorders>
            <w:vAlign w:val="center"/>
          </w:tcPr>
          <w:p w:rsidR="006327D3" w:rsidRPr="009A669B" w:rsidRDefault="006327D3" w:rsidP="00783D10">
            <w:pPr>
              <w:jc w:val="center"/>
              <w:rPr>
                <w:rFonts w:asciiTheme="minorHAnsi" w:hAnsiTheme="minorHAnsi"/>
                <w:sz w:val="16"/>
                <w:szCs w:val="16"/>
              </w:rPr>
            </w:pPr>
            <w:r>
              <w:rPr>
                <w:rFonts w:asciiTheme="minorHAnsi" w:hAnsiTheme="minorHAnsi"/>
                <w:sz w:val="16"/>
                <w:szCs w:val="16"/>
              </w:rPr>
              <w:t>9 (2)</w:t>
            </w:r>
          </w:p>
        </w:tc>
        <w:tc>
          <w:tcPr>
            <w:tcW w:w="787" w:type="dxa"/>
            <w:tcBorders>
              <w:left w:val="single" w:sz="4" w:space="0" w:color="auto"/>
              <w:right w:val="single" w:sz="4" w:space="0" w:color="auto"/>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87 (11)</w:t>
            </w:r>
          </w:p>
        </w:tc>
        <w:tc>
          <w:tcPr>
            <w:tcW w:w="779" w:type="dxa"/>
            <w:tcBorders>
              <w:left w:val="single" w:sz="4" w:space="0" w:color="auto"/>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110 (13)</w:t>
            </w:r>
          </w:p>
        </w:tc>
        <w:tc>
          <w:tcPr>
            <w:tcW w:w="787"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88 (11)</w:t>
            </w:r>
          </w:p>
        </w:tc>
        <w:tc>
          <w:tcPr>
            <w:tcW w:w="765" w:type="dxa"/>
            <w:tcBorders>
              <w:left w:val="nil"/>
              <w:right w:val="nil"/>
            </w:tcBorders>
            <w:vAlign w:val="center"/>
          </w:tcPr>
          <w:p w:rsidR="006327D3" w:rsidRPr="009A669B" w:rsidRDefault="007B0E3A" w:rsidP="00783D10">
            <w:pPr>
              <w:jc w:val="center"/>
              <w:rPr>
                <w:rFonts w:asciiTheme="minorHAnsi" w:hAnsiTheme="minorHAnsi"/>
                <w:sz w:val="16"/>
                <w:szCs w:val="16"/>
              </w:rPr>
            </w:pPr>
            <w:r>
              <w:rPr>
                <w:rFonts w:asciiTheme="minorHAnsi" w:hAnsiTheme="minorHAnsi"/>
                <w:sz w:val="16"/>
                <w:szCs w:val="16"/>
              </w:rPr>
              <w:t>55 (7)</w:t>
            </w:r>
          </w:p>
        </w:tc>
      </w:tr>
    </w:tbl>
    <w:p w:rsidR="009D079B" w:rsidRPr="00256E9C" w:rsidRDefault="009D079B" w:rsidP="009D079B">
      <w:pPr>
        <w:rPr>
          <w:rFonts w:asciiTheme="minorHAnsi" w:hAnsiTheme="minorHAnsi"/>
          <w:sz w:val="16"/>
          <w:szCs w:val="16"/>
        </w:rPr>
      </w:pPr>
      <w:r>
        <w:rPr>
          <w:rFonts w:asciiTheme="minorHAnsi" w:hAnsiTheme="minorHAnsi"/>
          <w:sz w:val="16"/>
          <w:szCs w:val="16"/>
        </w:rPr>
        <w:t>Data obtained from FDA review</w:t>
      </w:r>
    </w:p>
    <w:p w:rsidR="006327D3" w:rsidRDefault="006327D3">
      <w:pPr>
        <w:rPr>
          <w:sz w:val="20"/>
          <w:szCs w:val="20"/>
        </w:rPr>
      </w:pPr>
    </w:p>
    <w:p w:rsidR="00B32011" w:rsidRDefault="00B32011">
      <w:pPr>
        <w:rPr>
          <w:sz w:val="20"/>
          <w:szCs w:val="20"/>
        </w:rPr>
      </w:pPr>
      <w:r>
        <w:rPr>
          <w:sz w:val="20"/>
          <w:szCs w:val="20"/>
        </w:rPr>
        <w:t xml:space="preserve">The only comparative safety data available at this time is from the 12-week trial comparing FF/VI 100/25 QD to FP/SAL 500/50 BID.  </w:t>
      </w:r>
      <w:r w:rsidR="00AC31F6">
        <w:rPr>
          <w:sz w:val="20"/>
          <w:szCs w:val="20"/>
        </w:rPr>
        <w:t>The AE profiles were similar although more local steroid effects were seen with FP/SAL (4% vs. 1%) and more CV effects were seen with FF/VI (3% vs. &lt;1%).</w:t>
      </w:r>
      <w:r w:rsidR="007D4755">
        <w:rPr>
          <w:sz w:val="20"/>
          <w:szCs w:val="20"/>
        </w:rPr>
        <w:t xml:space="preserve">  </w:t>
      </w:r>
      <w:r w:rsidR="00F20D26">
        <w:rPr>
          <w:sz w:val="20"/>
          <w:szCs w:val="20"/>
        </w:rPr>
        <w:t xml:space="preserve">Adverse CV events reported in </w:t>
      </w:r>
      <w:r w:rsidR="007D4755">
        <w:rPr>
          <w:sz w:val="20"/>
          <w:szCs w:val="20"/>
        </w:rPr>
        <w:t>the FF/VI group, hypertension</w:t>
      </w:r>
      <w:r w:rsidR="00F20D26">
        <w:rPr>
          <w:sz w:val="20"/>
          <w:szCs w:val="20"/>
        </w:rPr>
        <w:t xml:space="preserve"> (n=2)</w:t>
      </w:r>
      <w:r w:rsidR="007D4755">
        <w:rPr>
          <w:sz w:val="20"/>
          <w:szCs w:val="20"/>
        </w:rPr>
        <w:t>, atrial fibrillation</w:t>
      </w:r>
      <w:r w:rsidR="00F20D26">
        <w:rPr>
          <w:sz w:val="20"/>
          <w:szCs w:val="20"/>
        </w:rPr>
        <w:t xml:space="preserve"> (n=2)</w:t>
      </w:r>
      <w:r w:rsidR="007D4755">
        <w:rPr>
          <w:sz w:val="20"/>
          <w:szCs w:val="20"/>
        </w:rPr>
        <w:t xml:space="preserve">, </w:t>
      </w:r>
      <w:r w:rsidR="00F20D26">
        <w:rPr>
          <w:sz w:val="20"/>
          <w:szCs w:val="20"/>
        </w:rPr>
        <w:t>tachycardia (n=2), angina pectoris (n=1), bradycardia (n=1), coronary artery disease (n=1), and peripheral edema (n=1).  In the FP/SAL group, the only CV AE reported was 1 case of hypertension.  Results of other comparative trials are needed to determine if there are differences in CV safety.</w:t>
      </w:r>
    </w:p>
    <w:p w:rsidR="00B32011" w:rsidRDefault="00B32011">
      <w:pPr>
        <w:rPr>
          <w:sz w:val="20"/>
          <w:szCs w:val="20"/>
        </w:rPr>
      </w:pPr>
    </w:p>
    <w:p w:rsidR="002371C1" w:rsidRPr="007F2272" w:rsidRDefault="002371C1" w:rsidP="00997E23">
      <w:pPr>
        <w:rPr>
          <w:i/>
          <w:sz w:val="20"/>
          <w:szCs w:val="20"/>
          <w:u w:val="single"/>
        </w:rPr>
      </w:pPr>
      <w:r w:rsidRPr="002371C1">
        <w:rPr>
          <w:i/>
          <w:sz w:val="20"/>
          <w:szCs w:val="20"/>
          <w:u w:val="single"/>
        </w:rPr>
        <w:t>Adverse Events of Special Interest</w:t>
      </w:r>
    </w:p>
    <w:p w:rsidR="00467B34" w:rsidRDefault="002938A0" w:rsidP="00997E23">
      <w:pPr>
        <w:rPr>
          <w:sz w:val="20"/>
          <w:szCs w:val="20"/>
        </w:rPr>
      </w:pPr>
      <w:r>
        <w:rPr>
          <w:sz w:val="20"/>
          <w:szCs w:val="20"/>
        </w:rPr>
        <w:t xml:space="preserve">Adverse events </w:t>
      </w:r>
      <w:r w:rsidR="001C6F5C">
        <w:rPr>
          <w:sz w:val="20"/>
          <w:szCs w:val="20"/>
        </w:rPr>
        <w:t>that are specific to corticosteroids and beta-agonists are discussed.</w:t>
      </w:r>
    </w:p>
    <w:p w:rsidR="002938A0" w:rsidRDefault="002938A0" w:rsidP="00997E23">
      <w:pPr>
        <w:rPr>
          <w:sz w:val="20"/>
          <w:szCs w:val="20"/>
        </w:rPr>
      </w:pPr>
    </w:p>
    <w:p w:rsidR="00D95BD4" w:rsidRDefault="00467B34" w:rsidP="00467B34">
      <w:pPr>
        <w:pStyle w:val="ListParagraph"/>
        <w:numPr>
          <w:ilvl w:val="0"/>
          <w:numId w:val="9"/>
        </w:numPr>
        <w:rPr>
          <w:sz w:val="20"/>
          <w:szCs w:val="20"/>
        </w:rPr>
      </w:pPr>
      <w:r w:rsidRPr="00467B34">
        <w:rPr>
          <w:sz w:val="20"/>
          <w:szCs w:val="20"/>
        </w:rPr>
        <w:t xml:space="preserve">Pneumonia:  </w:t>
      </w:r>
      <w:r w:rsidR="007F2272" w:rsidRPr="00467B34">
        <w:rPr>
          <w:sz w:val="20"/>
          <w:szCs w:val="20"/>
        </w:rPr>
        <w:t>The overall incidence was low</w:t>
      </w:r>
      <w:r w:rsidR="00351991">
        <w:rPr>
          <w:sz w:val="20"/>
          <w:szCs w:val="20"/>
        </w:rPr>
        <w:t>; 1.5</w:t>
      </w:r>
      <w:r w:rsidR="007F2272" w:rsidRPr="00467B34">
        <w:rPr>
          <w:sz w:val="20"/>
          <w:szCs w:val="20"/>
        </w:rPr>
        <w:t>-2%</w:t>
      </w:r>
      <w:r w:rsidR="00351991">
        <w:rPr>
          <w:sz w:val="20"/>
          <w:szCs w:val="20"/>
        </w:rPr>
        <w:t xml:space="preserve"> (all active treatments) versus 0.7% with </w:t>
      </w:r>
      <w:r w:rsidR="00586650">
        <w:rPr>
          <w:sz w:val="20"/>
          <w:szCs w:val="20"/>
        </w:rPr>
        <w:t xml:space="preserve">placebo </w:t>
      </w:r>
      <w:r w:rsidR="00586650" w:rsidRPr="00467B34">
        <w:rPr>
          <w:sz w:val="20"/>
          <w:szCs w:val="20"/>
        </w:rPr>
        <w:t>in</w:t>
      </w:r>
      <w:r w:rsidR="007F2272" w:rsidRPr="00467B34">
        <w:rPr>
          <w:sz w:val="20"/>
          <w:szCs w:val="20"/>
        </w:rPr>
        <w:t xml:space="preserve"> the 6-month trials and </w:t>
      </w:r>
      <w:r w:rsidR="00351991" w:rsidRPr="00351991">
        <w:rPr>
          <w:sz w:val="20"/>
          <w:szCs w:val="20"/>
        </w:rPr>
        <w:t>5.9-6.8</w:t>
      </w:r>
      <w:r w:rsidR="007F2272" w:rsidRPr="00351991">
        <w:rPr>
          <w:sz w:val="20"/>
          <w:szCs w:val="20"/>
        </w:rPr>
        <w:t>%</w:t>
      </w:r>
      <w:r w:rsidR="00351991">
        <w:rPr>
          <w:sz w:val="20"/>
          <w:szCs w:val="20"/>
        </w:rPr>
        <w:t xml:space="preserve"> (all FF/VI doses) versus 3.3% with vilanterol </w:t>
      </w:r>
      <w:r w:rsidR="00586650">
        <w:rPr>
          <w:sz w:val="20"/>
          <w:szCs w:val="20"/>
        </w:rPr>
        <w:t xml:space="preserve">alone </w:t>
      </w:r>
      <w:r w:rsidR="00586650" w:rsidRPr="00351991">
        <w:rPr>
          <w:sz w:val="20"/>
          <w:szCs w:val="20"/>
        </w:rPr>
        <w:t>in</w:t>
      </w:r>
      <w:r w:rsidR="007F2272" w:rsidRPr="00351991">
        <w:rPr>
          <w:sz w:val="20"/>
          <w:szCs w:val="20"/>
        </w:rPr>
        <w:t xml:space="preserve"> the 1-year trials</w:t>
      </w:r>
      <w:r w:rsidR="007F2272" w:rsidRPr="00467B34">
        <w:rPr>
          <w:sz w:val="20"/>
          <w:szCs w:val="20"/>
        </w:rPr>
        <w:t>.  One patient receiving FF/VI 100/25 and 7 receiving FF/VI 200</w:t>
      </w:r>
      <w:r w:rsidR="00970B3D">
        <w:rPr>
          <w:sz w:val="20"/>
          <w:szCs w:val="20"/>
        </w:rPr>
        <w:t xml:space="preserve">/25 died in the 1-year trials </w:t>
      </w:r>
      <w:r w:rsidR="001C6F5C" w:rsidRPr="001C6F5C">
        <w:rPr>
          <w:b/>
          <w:sz w:val="20"/>
          <w:szCs w:val="20"/>
          <w:u w:val="single"/>
        </w:rPr>
        <w:t xml:space="preserve">Table </w:t>
      </w:r>
      <w:r w:rsidR="00970B3D">
        <w:rPr>
          <w:b/>
          <w:sz w:val="20"/>
          <w:szCs w:val="20"/>
          <w:u w:val="single"/>
        </w:rPr>
        <w:t>9</w:t>
      </w:r>
      <w:r w:rsidR="00970B3D">
        <w:rPr>
          <w:sz w:val="20"/>
          <w:szCs w:val="20"/>
        </w:rPr>
        <w:t>.</w:t>
      </w:r>
    </w:p>
    <w:p w:rsidR="00D95BD4" w:rsidRDefault="00D95BD4" w:rsidP="00D95BD4">
      <w:pPr>
        <w:pStyle w:val="ListParagraph"/>
        <w:ind w:left="360"/>
        <w:rPr>
          <w:sz w:val="20"/>
          <w:szCs w:val="20"/>
        </w:rPr>
      </w:pPr>
    </w:p>
    <w:p w:rsidR="002371C1" w:rsidRPr="00467B34" w:rsidRDefault="001C6F5C" w:rsidP="00D95BD4">
      <w:pPr>
        <w:pStyle w:val="ListParagraph"/>
        <w:ind w:left="360"/>
        <w:rPr>
          <w:sz w:val="20"/>
          <w:szCs w:val="20"/>
        </w:rPr>
      </w:pPr>
      <w:r>
        <w:rPr>
          <w:sz w:val="20"/>
          <w:szCs w:val="20"/>
        </w:rPr>
        <w:t>The</w:t>
      </w:r>
      <w:r w:rsidR="007F2272" w:rsidRPr="00467B34">
        <w:rPr>
          <w:sz w:val="20"/>
          <w:szCs w:val="20"/>
        </w:rPr>
        <w:t xml:space="preserve"> incidence of pneumonia reported in the 1-year trials is comparable to that reported in the 1-year trials for </w:t>
      </w:r>
      <w:proofErr w:type="spellStart"/>
      <w:r w:rsidR="007F2272" w:rsidRPr="00467B34">
        <w:rPr>
          <w:sz w:val="20"/>
          <w:szCs w:val="20"/>
        </w:rPr>
        <w:t>Advair</w:t>
      </w:r>
      <w:proofErr w:type="spellEnd"/>
      <w:r w:rsidR="007F2272" w:rsidRPr="00467B34">
        <w:rPr>
          <w:sz w:val="20"/>
          <w:szCs w:val="20"/>
        </w:rPr>
        <w:t xml:space="preserve"> and </w:t>
      </w:r>
      <w:proofErr w:type="spellStart"/>
      <w:r w:rsidR="007F2272" w:rsidRPr="00467B34">
        <w:rPr>
          <w:sz w:val="20"/>
          <w:szCs w:val="20"/>
        </w:rPr>
        <w:t>Symbicort</w:t>
      </w:r>
      <w:proofErr w:type="spellEnd"/>
      <w:r w:rsidR="007F2272" w:rsidRPr="00467B34">
        <w:rPr>
          <w:sz w:val="20"/>
          <w:szCs w:val="20"/>
        </w:rPr>
        <w:t>.</w:t>
      </w:r>
      <w:r>
        <w:rPr>
          <w:sz w:val="20"/>
          <w:szCs w:val="20"/>
        </w:rPr>
        <w:t xml:space="preserve">  </w:t>
      </w:r>
    </w:p>
    <w:p w:rsidR="007F2272" w:rsidRDefault="007F2272" w:rsidP="00997E23">
      <w:pPr>
        <w:rPr>
          <w:sz w:val="20"/>
          <w:szCs w:val="20"/>
        </w:rPr>
      </w:pPr>
    </w:p>
    <w:p w:rsidR="00997E23" w:rsidRPr="00997E23" w:rsidRDefault="00997E23" w:rsidP="00997E23">
      <w:pPr>
        <w:rPr>
          <w:sz w:val="20"/>
          <w:szCs w:val="20"/>
        </w:rPr>
      </w:pPr>
      <w:r w:rsidRPr="00997E23">
        <w:rPr>
          <w:rFonts w:asciiTheme="minorHAnsi" w:hAnsiTheme="minorHAnsi"/>
          <w:b/>
          <w:sz w:val="20"/>
          <w:szCs w:val="20"/>
        </w:rPr>
        <w:t>Table</w:t>
      </w:r>
      <w:r w:rsidR="00970B3D">
        <w:rPr>
          <w:rFonts w:asciiTheme="minorHAnsi" w:hAnsiTheme="minorHAnsi"/>
          <w:b/>
          <w:sz w:val="20"/>
          <w:szCs w:val="20"/>
        </w:rPr>
        <w:t xml:space="preserve"> 9</w:t>
      </w:r>
      <w:r w:rsidRPr="00997E23">
        <w:rPr>
          <w:rFonts w:asciiTheme="minorHAnsi" w:hAnsiTheme="minorHAnsi"/>
          <w:b/>
          <w:sz w:val="20"/>
          <w:szCs w:val="20"/>
        </w:rPr>
        <w:t>:  Incidence of Pneumonia:</w:t>
      </w:r>
      <w:r>
        <w:rPr>
          <w:sz w:val="20"/>
          <w:szCs w:val="20"/>
        </w:rPr>
        <w:t xml:space="preserve">  </w:t>
      </w:r>
      <w:r w:rsidR="001C6F5C">
        <w:rPr>
          <w:rFonts w:asciiTheme="minorHAnsi" w:hAnsiTheme="minorHAnsi"/>
          <w:b/>
          <w:sz w:val="20"/>
          <w:szCs w:val="20"/>
        </w:rPr>
        <w:t>Integrated Results for 6-Month and 1-Y</w:t>
      </w:r>
      <w:r w:rsidR="00AD3DB4">
        <w:rPr>
          <w:rFonts w:asciiTheme="minorHAnsi" w:hAnsiTheme="minorHAnsi"/>
          <w:b/>
          <w:sz w:val="20"/>
          <w:szCs w:val="20"/>
        </w:rPr>
        <w:t>ear Trials</w:t>
      </w:r>
    </w:p>
    <w:tbl>
      <w:tblPr>
        <w:tblStyle w:val="TableGrid"/>
        <w:tblW w:w="10068" w:type="dxa"/>
        <w:tblInd w:w="-72" w:type="dxa"/>
        <w:tblLayout w:type="fixed"/>
        <w:tblLook w:val="04A0" w:firstRow="1" w:lastRow="0" w:firstColumn="1" w:lastColumn="0" w:noHBand="0" w:noVBand="1"/>
      </w:tblPr>
      <w:tblGrid>
        <w:gridCol w:w="1710"/>
        <w:gridCol w:w="759"/>
        <w:gridCol w:w="760"/>
        <w:gridCol w:w="760"/>
        <w:gridCol w:w="760"/>
        <w:gridCol w:w="760"/>
        <w:gridCol w:w="759"/>
        <w:gridCol w:w="682"/>
        <w:gridCol w:w="78"/>
        <w:gridCol w:w="760"/>
        <w:gridCol w:w="760"/>
        <w:gridCol w:w="760"/>
        <w:gridCol w:w="760"/>
      </w:tblGrid>
      <w:tr w:rsidR="00E27067" w:rsidRPr="00256E9C" w:rsidTr="00E27067">
        <w:tc>
          <w:tcPr>
            <w:tcW w:w="1710" w:type="dxa"/>
            <w:vMerge w:val="restart"/>
            <w:tcBorders>
              <w:left w:val="nil"/>
              <w:right w:val="nil"/>
            </w:tcBorders>
            <w:shd w:val="clear" w:color="auto" w:fill="D9D9D9" w:themeFill="background1" w:themeFillShade="D9"/>
          </w:tcPr>
          <w:p w:rsidR="00E27067" w:rsidRPr="00256E9C" w:rsidRDefault="00E27067" w:rsidP="00787204">
            <w:pPr>
              <w:rPr>
                <w:rFonts w:asciiTheme="minorHAnsi" w:hAnsiTheme="minorHAnsi"/>
                <w:b/>
                <w:sz w:val="16"/>
                <w:szCs w:val="16"/>
              </w:rPr>
            </w:pPr>
          </w:p>
        </w:tc>
        <w:tc>
          <w:tcPr>
            <w:tcW w:w="5240" w:type="dxa"/>
            <w:gridSpan w:val="7"/>
            <w:tcBorders>
              <w:left w:val="nil"/>
              <w:right w:val="nil"/>
            </w:tcBorders>
            <w:shd w:val="clear" w:color="auto" w:fill="D9D9D9" w:themeFill="background1" w:themeFillShade="D9"/>
            <w:vAlign w:val="center"/>
          </w:tcPr>
          <w:p w:rsidR="00E27067" w:rsidRPr="00256E9C" w:rsidRDefault="00E27067" w:rsidP="00EC46E9">
            <w:pPr>
              <w:jc w:val="center"/>
              <w:rPr>
                <w:rFonts w:asciiTheme="minorHAnsi" w:hAnsiTheme="minorHAnsi"/>
                <w:b/>
                <w:sz w:val="16"/>
                <w:szCs w:val="16"/>
              </w:rPr>
            </w:pPr>
            <w:r>
              <w:rPr>
                <w:rFonts w:asciiTheme="minorHAnsi" w:hAnsiTheme="minorHAnsi"/>
                <w:b/>
                <w:sz w:val="16"/>
                <w:szCs w:val="16"/>
              </w:rPr>
              <w:t xml:space="preserve">6-month </w:t>
            </w:r>
            <w:r w:rsidR="00EC46E9">
              <w:rPr>
                <w:rFonts w:asciiTheme="minorHAnsi" w:hAnsiTheme="minorHAnsi"/>
                <w:b/>
                <w:sz w:val="16"/>
                <w:szCs w:val="16"/>
              </w:rPr>
              <w:t>Trials</w:t>
            </w:r>
          </w:p>
        </w:tc>
        <w:tc>
          <w:tcPr>
            <w:tcW w:w="3118" w:type="dxa"/>
            <w:gridSpan w:val="5"/>
            <w:tcBorders>
              <w:left w:val="nil"/>
              <w:right w:val="nil"/>
            </w:tcBorders>
            <w:shd w:val="clear" w:color="auto" w:fill="D9D9D9" w:themeFill="background1" w:themeFillShade="D9"/>
            <w:vAlign w:val="center"/>
          </w:tcPr>
          <w:p w:rsidR="00E27067" w:rsidRPr="00256E9C" w:rsidRDefault="00E27067" w:rsidP="00EC46E9">
            <w:pPr>
              <w:jc w:val="center"/>
              <w:rPr>
                <w:rFonts w:asciiTheme="minorHAnsi" w:hAnsiTheme="minorHAnsi"/>
                <w:b/>
                <w:sz w:val="16"/>
                <w:szCs w:val="16"/>
              </w:rPr>
            </w:pPr>
            <w:r>
              <w:rPr>
                <w:rFonts w:asciiTheme="minorHAnsi" w:hAnsiTheme="minorHAnsi"/>
                <w:b/>
                <w:sz w:val="16"/>
                <w:szCs w:val="16"/>
              </w:rPr>
              <w:t xml:space="preserve">1-year </w:t>
            </w:r>
            <w:r w:rsidR="00EC46E9">
              <w:rPr>
                <w:rFonts w:asciiTheme="minorHAnsi" w:hAnsiTheme="minorHAnsi"/>
                <w:b/>
                <w:sz w:val="16"/>
                <w:szCs w:val="16"/>
              </w:rPr>
              <w:t>Trials</w:t>
            </w:r>
          </w:p>
        </w:tc>
      </w:tr>
      <w:tr w:rsidR="00E27067" w:rsidRPr="00256E9C" w:rsidTr="00E27067">
        <w:tc>
          <w:tcPr>
            <w:tcW w:w="1710" w:type="dxa"/>
            <w:vMerge/>
            <w:tcBorders>
              <w:left w:val="nil"/>
              <w:right w:val="single" w:sz="4" w:space="0" w:color="auto"/>
            </w:tcBorders>
            <w:shd w:val="clear" w:color="auto" w:fill="D9D9D9" w:themeFill="background1" w:themeFillShade="D9"/>
          </w:tcPr>
          <w:p w:rsidR="00E27067" w:rsidRPr="00256E9C" w:rsidRDefault="00E27067" w:rsidP="00787204">
            <w:pPr>
              <w:rPr>
                <w:rFonts w:asciiTheme="minorHAnsi" w:hAnsiTheme="minorHAnsi"/>
                <w:b/>
                <w:sz w:val="16"/>
                <w:szCs w:val="16"/>
              </w:rPr>
            </w:pPr>
          </w:p>
        </w:tc>
        <w:tc>
          <w:tcPr>
            <w:tcW w:w="759" w:type="dxa"/>
            <w:tcBorders>
              <w:left w:val="single" w:sz="4" w:space="0" w:color="auto"/>
              <w:right w:val="single" w:sz="4" w:space="0" w:color="auto"/>
            </w:tcBorders>
            <w:shd w:val="clear" w:color="auto" w:fill="D9D9D9" w:themeFill="background1" w:themeFillShade="D9"/>
            <w:vAlign w:val="center"/>
          </w:tcPr>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FF/VI</w:t>
            </w:r>
          </w:p>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100/25</w:t>
            </w:r>
          </w:p>
        </w:tc>
        <w:tc>
          <w:tcPr>
            <w:tcW w:w="760" w:type="dxa"/>
            <w:tcBorders>
              <w:left w:val="single" w:sz="4" w:space="0" w:color="auto"/>
              <w:right w:val="nil"/>
            </w:tcBorders>
            <w:shd w:val="clear" w:color="auto" w:fill="D9D9D9" w:themeFill="background1" w:themeFillShade="D9"/>
            <w:vAlign w:val="center"/>
          </w:tcPr>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FF/VI</w:t>
            </w:r>
          </w:p>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50/25</w:t>
            </w:r>
          </w:p>
        </w:tc>
        <w:tc>
          <w:tcPr>
            <w:tcW w:w="760" w:type="dxa"/>
            <w:tcBorders>
              <w:left w:val="nil"/>
              <w:right w:val="nil"/>
            </w:tcBorders>
            <w:shd w:val="clear" w:color="auto" w:fill="D9D9D9" w:themeFill="background1" w:themeFillShade="D9"/>
            <w:vAlign w:val="center"/>
          </w:tcPr>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FF/VI</w:t>
            </w:r>
          </w:p>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200/25</w:t>
            </w:r>
          </w:p>
        </w:tc>
        <w:tc>
          <w:tcPr>
            <w:tcW w:w="760" w:type="dxa"/>
            <w:tcBorders>
              <w:left w:val="nil"/>
              <w:right w:val="nil"/>
            </w:tcBorders>
            <w:shd w:val="clear" w:color="auto" w:fill="D9D9D9" w:themeFill="background1" w:themeFillShade="D9"/>
            <w:vAlign w:val="center"/>
          </w:tcPr>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VI 25</w:t>
            </w:r>
          </w:p>
        </w:tc>
        <w:tc>
          <w:tcPr>
            <w:tcW w:w="760" w:type="dxa"/>
            <w:tcBorders>
              <w:left w:val="nil"/>
              <w:right w:val="nil"/>
            </w:tcBorders>
            <w:shd w:val="clear" w:color="auto" w:fill="D9D9D9" w:themeFill="background1" w:themeFillShade="D9"/>
            <w:vAlign w:val="center"/>
          </w:tcPr>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FF100</w:t>
            </w:r>
          </w:p>
        </w:tc>
        <w:tc>
          <w:tcPr>
            <w:tcW w:w="759" w:type="dxa"/>
            <w:tcBorders>
              <w:left w:val="nil"/>
              <w:right w:val="nil"/>
            </w:tcBorders>
            <w:shd w:val="clear" w:color="auto" w:fill="D9D9D9" w:themeFill="background1" w:themeFillShade="D9"/>
            <w:vAlign w:val="center"/>
          </w:tcPr>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FF200</w:t>
            </w:r>
          </w:p>
        </w:tc>
        <w:tc>
          <w:tcPr>
            <w:tcW w:w="760" w:type="dxa"/>
            <w:gridSpan w:val="2"/>
            <w:tcBorders>
              <w:left w:val="nil"/>
              <w:right w:val="single" w:sz="4" w:space="0" w:color="auto"/>
            </w:tcBorders>
            <w:shd w:val="clear" w:color="auto" w:fill="D9D9D9" w:themeFill="background1" w:themeFillShade="D9"/>
            <w:vAlign w:val="center"/>
          </w:tcPr>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PBO</w:t>
            </w:r>
          </w:p>
        </w:tc>
        <w:tc>
          <w:tcPr>
            <w:tcW w:w="760" w:type="dxa"/>
            <w:tcBorders>
              <w:left w:val="single" w:sz="4" w:space="0" w:color="auto"/>
              <w:right w:val="single" w:sz="4" w:space="0" w:color="auto"/>
            </w:tcBorders>
            <w:shd w:val="clear" w:color="auto" w:fill="D9D9D9" w:themeFill="background1" w:themeFillShade="D9"/>
            <w:vAlign w:val="center"/>
          </w:tcPr>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FF/VI</w:t>
            </w:r>
          </w:p>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100/25</w:t>
            </w:r>
          </w:p>
        </w:tc>
        <w:tc>
          <w:tcPr>
            <w:tcW w:w="760" w:type="dxa"/>
            <w:tcBorders>
              <w:left w:val="single" w:sz="4" w:space="0" w:color="auto"/>
              <w:right w:val="nil"/>
            </w:tcBorders>
            <w:shd w:val="clear" w:color="auto" w:fill="D9D9D9" w:themeFill="background1" w:themeFillShade="D9"/>
            <w:vAlign w:val="center"/>
          </w:tcPr>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FF/VI</w:t>
            </w:r>
          </w:p>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50/25</w:t>
            </w:r>
          </w:p>
        </w:tc>
        <w:tc>
          <w:tcPr>
            <w:tcW w:w="760" w:type="dxa"/>
            <w:tcBorders>
              <w:left w:val="nil"/>
              <w:right w:val="nil"/>
            </w:tcBorders>
            <w:shd w:val="clear" w:color="auto" w:fill="D9D9D9" w:themeFill="background1" w:themeFillShade="D9"/>
            <w:vAlign w:val="center"/>
          </w:tcPr>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FF/VI</w:t>
            </w:r>
          </w:p>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200/25</w:t>
            </w:r>
          </w:p>
        </w:tc>
        <w:tc>
          <w:tcPr>
            <w:tcW w:w="760" w:type="dxa"/>
            <w:tcBorders>
              <w:left w:val="nil"/>
              <w:right w:val="nil"/>
            </w:tcBorders>
            <w:shd w:val="clear" w:color="auto" w:fill="D9D9D9" w:themeFill="background1" w:themeFillShade="D9"/>
            <w:vAlign w:val="center"/>
          </w:tcPr>
          <w:p w:rsidR="00E27067" w:rsidRPr="00256E9C" w:rsidRDefault="00E27067" w:rsidP="00787204">
            <w:pPr>
              <w:jc w:val="center"/>
              <w:rPr>
                <w:rFonts w:asciiTheme="minorHAnsi" w:hAnsiTheme="minorHAnsi"/>
                <w:b/>
                <w:sz w:val="16"/>
                <w:szCs w:val="16"/>
              </w:rPr>
            </w:pPr>
            <w:r w:rsidRPr="00256E9C">
              <w:rPr>
                <w:rFonts w:asciiTheme="minorHAnsi" w:hAnsiTheme="minorHAnsi"/>
                <w:b/>
                <w:sz w:val="16"/>
                <w:szCs w:val="16"/>
              </w:rPr>
              <w:t>VI 25</w:t>
            </w:r>
          </w:p>
        </w:tc>
      </w:tr>
      <w:tr w:rsidR="00E27067" w:rsidRPr="009A669B" w:rsidTr="00E27067">
        <w:tc>
          <w:tcPr>
            <w:tcW w:w="1710" w:type="dxa"/>
            <w:tcBorders>
              <w:left w:val="nil"/>
              <w:right w:val="single" w:sz="4" w:space="0" w:color="auto"/>
            </w:tcBorders>
          </w:tcPr>
          <w:p w:rsidR="00E27067" w:rsidRDefault="00E27067" w:rsidP="00787204">
            <w:pPr>
              <w:rPr>
                <w:rFonts w:asciiTheme="minorHAnsi" w:hAnsiTheme="minorHAnsi"/>
                <w:sz w:val="16"/>
                <w:szCs w:val="16"/>
              </w:rPr>
            </w:pPr>
            <w:r>
              <w:rPr>
                <w:rFonts w:asciiTheme="minorHAnsi" w:hAnsiTheme="minorHAnsi"/>
                <w:sz w:val="16"/>
                <w:szCs w:val="16"/>
              </w:rPr>
              <w:t>N</w:t>
            </w:r>
          </w:p>
        </w:tc>
        <w:tc>
          <w:tcPr>
            <w:tcW w:w="759" w:type="dxa"/>
            <w:tcBorders>
              <w:left w:val="single" w:sz="4" w:space="0" w:color="auto"/>
              <w:right w:val="single" w:sz="4" w:space="0" w:color="auto"/>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410</w:t>
            </w:r>
          </w:p>
        </w:tc>
        <w:tc>
          <w:tcPr>
            <w:tcW w:w="760" w:type="dxa"/>
            <w:tcBorders>
              <w:left w:val="single" w:sz="4" w:space="0" w:color="auto"/>
              <w:right w:val="nil"/>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206</w:t>
            </w:r>
          </w:p>
        </w:tc>
        <w:tc>
          <w:tcPr>
            <w:tcW w:w="760" w:type="dxa"/>
            <w:tcBorders>
              <w:left w:val="nil"/>
              <w:right w:val="nil"/>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205</w:t>
            </w:r>
          </w:p>
        </w:tc>
        <w:tc>
          <w:tcPr>
            <w:tcW w:w="760" w:type="dxa"/>
            <w:tcBorders>
              <w:left w:val="nil"/>
              <w:right w:val="nil"/>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408</w:t>
            </w:r>
          </w:p>
        </w:tc>
        <w:tc>
          <w:tcPr>
            <w:tcW w:w="760" w:type="dxa"/>
            <w:tcBorders>
              <w:left w:val="nil"/>
              <w:right w:val="nil"/>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410</w:t>
            </w:r>
          </w:p>
        </w:tc>
        <w:tc>
          <w:tcPr>
            <w:tcW w:w="759" w:type="dxa"/>
            <w:tcBorders>
              <w:left w:val="nil"/>
              <w:right w:val="nil"/>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203</w:t>
            </w:r>
          </w:p>
        </w:tc>
        <w:tc>
          <w:tcPr>
            <w:tcW w:w="760" w:type="dxa"/>
            <w:gridSpan w:val="2"/>
            <w:tcBorders>
              <w:left w:val="nil"/>
              <w:right w:val="single" w:sz="4" w:space="0" w:color="auto"/>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412</w:t>
            </w:r>
          </w:p>
        </w:tc>
        <w:tc>
          <w:tcPr>
            <w:tcW w:w="760" w:type="dxa"/>
            <w:tcBorders>
              <w:left w:val="single" w:sz="4" w:space="0" w:color="auto"/>
              <w:right w:val="single" w:sz="4" w:space="0" w:color="auto"/>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806</w:t>
            </w:r>
          </w:p>
        </w:tc>
        <w:tc>
          <w:tcPr>
            <w:tcW w:w="760" w:type="dxa"/>
            <w:tcBorders>
              <w:left w:val="single" w:sz="4" w:space="0" w:color="auto"/>
              <w:right w:val="nil"/>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820</w:t>
            </w:r>
          </w:p>
        </w:tc>
        <w:tc>
          <w:tcPr>
            <w:tcW w:w="760" w:type="dxa"/>
            <w:tcBorders>
              <w:left w:val="nil"/>
              <w:right w:val="nil"/>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811</w:t>
            </w:r>
          </w:p>
        </w:tc>
        <w:tc>
          <w:tcPr>
            <w:tcW w:w="760" w:type="dxa"/>
            <w:tcBorders>
              <w:left w:val="nil"/>
              <w:right w:val="nil"/>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818</w:t>
            </w:r>
          </w:p>
        </w:tc>
      </w:tr>
      <w:tr w:rsidR="00E27067" w:rsidRPr="009A669B" w:rsidTr="00E27067">
        <w:tc>
          <w:tcPr>
            <w:tcW w:w="1710" w:type="dxa"/>
            <w:tcBorders>
              <w:left w:val="nil"/>
              <w:right w:val="single" w:sz="4" w:space="0" w:color="auto"/>
            </w:tcBorders>
          </w:tcPr>
          <w:p w:rsidR="00E27067" w:rsidRPr="009A669B" w:rsidRDefault="00E27067" w:rsidP="00E27067">
            <w:pPr>
              <w:rPr>
                <w:rFonts w:asciiTheme="minorHAnsi" w:hAnsiTheme="minorHAnsi"/>
                <w:sz w:val="16"/>
                <w:szCs w:val="16"/>
              </w:rPr>
            </w:pPr>
            <w:r>
              <w:rPr>
                <w:rFonts w:asciiTheme="minorHAnsi" w:hAnsiTheme="minorHAnsi"/>
                <w:sz w:val="16"/>
                <w:szCs w:val="16"/>
              </w:rPr>
              <w:t>Any AE of pneumonia</w:t>
            </w:r>
          </w:p>
        </w:tc>
        <w:tc>
          <w:tcPr>
            <w:tcW w:w="759" w:type="dxa"/>
            <w:tcBorders>
              <w:left w:val="single" w:sz="4" w:space="0" w:color="auto"/>
              <w:right w:val="single" w:sz="4" w:space="0" w:color="auto"/>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6 (1</w:t>
            </w:r>
            <w:r w:rsidR="001A25CD">
              <w:rPr>
                <w:rFonts w:asciiTheme="minorHAnsi" w:hAnsiTheme="minorHAnsi"/>
                <w:sz w:val="16"/>
                <w:szCs w:val="16"/>
              </w:rPr>
              <w:t>.5</w:t>
            </w:r>
            <w:r>
              <w:rPr>
                <w:rFonts w:asciiTheme="minorHAnsi" w:hAnsiTheme="minorHAnsi"/>
                <w:sz w:val="16"/>
                <w:szCs w:val="16"/>
              </w:rPr>
              <w:t>)</w:t>
            </w:r>
          </w:p>
        </w:tc>
        <w:tc>
          <w:tcPr>
            <w:tcW w:w="760" w:type="dxa"/>
            <w:tcBorders>
              <w:left w:val="single" w:sz="4" w:space="0" w:color="auto"/>
              <w:right w:val="nil"/>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3 (1</w:t>
            </w:r>
            <w:r w:rsidR="001A25CD">
              <w:rPr>
                <w:rFonts w:asciiTheme="minorHAnsi" w:hAnsiTheme="minorHAnsi"/>
                <w:sz w:val="16"/>
                <w:szCs w:val="16"/>
              </w:rPr>
              <w:t>.5</w:t>
            </w:r>
            <w:r>
              <w:rPr>
                <w:rFonts w:asciiTheme="minorHAnsi" w:hAnsiTheme="minorHAnsi"/>
                <w:sz w:val="16"/>
                <w:szCs w:val="16"/>
              </w:rPr>
              <w:t>)</w:t>
            </w:r>
          </w:p>
        </w:tc>
        <w:tc>
          <w:tcPr>
            <w:tcW w:w="760" w:type="dxa"/>
            <w:tcBorders>
              <w:left w:val="nil"/>
              <w:right w:val="nil"/>
            </w:tcBorders>
            <w:vAlign w:val="center"/>
          </w:tcPr>
          <w:p w:rsidR="00E27067" w:rsidRPr="009A669B" w:rsidRDefault="00997E23" w:rsidP="00787204">
            <w:pPr>
              <w:jc w:val="center"/>
              <w:rPr>
                <w:rFonts w:asciiTheme="minorHAnsi" w:hAnsiTheme="minorHAnsi"/>
                <w:sz w:val="16"/>
                <w:szCs w:val="16"/>
              </w:rPr>
            </w:pPr>
            <w:r>
              <w:rPr>
                <w:rFonts w:asciiTheme="minorHAnsi" w:hAnsiTheme="minorHAnsi"/>
                <w:sz w:val="16"/>
                <w:szCs w:val="16"/>
              </w:rPr>
              <w:t>4 (2)</w:t>
            </w:r>
          </w:p>
        </w:tc>
        <w:tc>
          <w:tcPr>
            <w:tcW w:w="760" w:type="dxa"/>
            <w:tcBorders>
              <w:left w:val="nil"/>
              <w:right w:val="nil"/>
            </w:tcBorders>
            <w:vAlign w:val="center"/>
          </w:tcPr>
          <w:p w:rsidR="00E27067" w:rsidRPr="009A669B" w:rsidRDefault="001A25CD" w:rsidP="00787204">
            <w:pPr>
              <w:jc w:val="center"/>
              <w:rPr>
                <w:rFonts w:asciiTheme="minorHAnsi" w:hAnsiTheme="minorHAnsi"/>
                <w:sz w:val="16"/>
                <w:szCs w:val="16"/>
              </w:rPr>
            </w:pPr>
            <w:r>
              <w:rPr>
                <w:rFonts w:asciiTheme="minorHAnsi" w:hAnsiTheme="minorHAnsi"/>
                <w:sz w:val="16"/>
                <w:szCs w:val="16"/>
              </w:rPr>
              <w:t>7 (1.7</w:t>
            </w:r>
            <w:r w:rsidR="00997E23">
              <w:rPr>
                <w:rFonts w:asciiTheme="minorHAnsi" w:hAnsiTheme="minorHAnsi"/>
                <w:sz w:val="16"/>
                <w:szCs w:val="16"/>
              </w:rPr>
              <w:t>)</w:t>
            </w:r>
          </w:p>
        </w:tc>
        <w:tc>
          <w:tcPr>
            <w:tcW w:w="760" w:type="dxa"/>
            <w:tcBorders>
              <w:left w:val="nil"/>
              <w:right w:val="nil"/>
            </w:tcBorders>
            <w:vAlign w:val="center"/>
          </w:tcPr>
          <w:p w:rsidR="00E27067" w:rsidRPr="009A669B" w:rsidRDefault="00997E23" w:rsidP="00787204">
            <w:pPr>
              <w:jc w:val="center"/>
              <w:rPr>
                <w:rFonts w:asciiTheme="minorHAnsi" w:hAnsiTheme="minorHAnsi"/>
                <w:sz w:val="16"/>
                <w:szCs w:val="16"/>
              </w:rPr>
            </w:pPr>
            <w:r>
              <w:rPr>
                <w:rFonts w:asciiTheme="minorHAnsi" w:hAnsiTheme="minorHAnsi"/>
                <w:sz w:val="16"/>
                <w:szCs w:val="16"/>
              </w:rPr>
              <w:t>6 (1</w:t>
            </w:r>
            <w:r w:rsidR="001A25CD">
              <w:rPr>
                <w:rFonts w:asciiTheme="minorHAnsi" w:hAnsiTheme="minorHAnsi"/>
                <w:sz w:val="16"/>
                <w:szCs w:val="16"/>
              </w:rPr>
              <w:t>.5</w:t>
            </w:r>
            <w:r>
              <w:rPr>
                <w:rFonts w:asciiTheme="minorHAnsi" w:hAnsiTheme="minorHAnsi"/>
                <w:sz w:val="16"/>
                <w:szCs w:val="16"/>
              </w:rPr>
              <w:t>)</w:t>
            </w:r>
          </w:p>
        </w:tc>
        <w:tc>
          <w:tcPr>
            <w:tcW w:w="759" w:type="dxa"/>
            <w:tcBorders>
              <w:left w:val="nil"/>
              <w:right w:val="nil"/>
            </w:tcBorders>
            <w:vAlign w:val="center"/>
          </w:tcPr>
          <w:p w:rsidR="00E27067" w:rsidRPr="009A669B" w:rsidRDefault="00997E23" w:rsidP="00787204">
            <w:pPr>
              <w:jc w:val="center"/>
              <w:rPr>
                <w:rFonts w:asciiTheme="minorHAnsi" w:hAnsiTheme="minorHAnsi"/>
                <w:sz w:val="16"/>
                <w:szCs w:val="16"/>
              </w:rPr>
            </w:pPr>
            <w:r>
              <w:rPr>
                <w:rFonts w:asciiTheme="minorHAnsi" w:hAnsiTheme="minorHAnsi"/>
                <w:sz w:val="16"/>
                <w:szCs w:val="16"/>
              </w:rPr>
              <w:t>3 (1</w:t>
            </w:r>
            <w:r w:rsidR="001A25CD">
              <w:rPr>
                <w:rFonts w:asciiTheme="minorHAnsi" w:hAnsiTheme="minorHAnsi"/>
                <w:sz w:val="16"/>
                <w:szCs w:val="16"/>
              </w:rPr>
              <w:t>.5</w:t>
            </w:r>
            <w:r>
              <w:rPr>
                <w:rFonts w:asciiTheme="minorHAnsi" w:hAnsiTheme="minorHAnsi"/>
                <w:sz w:val="16"/>
                <w:szCs w:val="16"/>
              </w:rPr>
              <w:t>)</w:t>
            </w:r>
          </w:p>
        </w:tc>
        <w:tc>
          <w:tcPr>
            <w:tcW w:w="760" w:type="dxa"/>
            <w:gridSpan w:val="2"/>
            <w:tcBorders>
              <w:left w:val="nil"/>
              <w:right w:val="single" w:sz="4" w:space="0" w:color="auto"/>
            </w:tcBorders>
            <w:vAlign w:val="center"/>
          </w:tcPr>
          <w:p w:rsidR="00E27067" w:rsidRPr="009A669B" w:rsidRDefault="001A25CD" w:rsidP="00787204">
            <w:pPr>
              <w:jc w:val="center"/>
              <w:rPr>
                <w:rFonts w:asciiTheme="minorHAnsi" w:hAnsiTheme="minorHAnsi"/>
                <w:sz w:val="16"/>
                <w:szCs w:val="16"/>
              </w:rPr>
            </w:pPr>
            <w:r>
              <w:rPr>
                <w:rFonts w:asciiTheme="minorHAnsi" w:hAnsiTheme="minorHAnsi"/>
                <w:sz w:val="16"/>
                <w:szCs w:val="16"/>
              </w:rPr>
              <w:t>3 (0.7</w:t>
            </w:r>
            <w:r w:rsidR="00997E23">
              <w:rPr>
                <w:rFonts w:asciiTheme="minorHAnsi" w:hAnsiTheme="minorHAnsi"/>
                <w:sz w:val="16"/>
                <w:szCs w:val="16"/>
              </w:rPr>
              <w:t>)</w:t>
            </w:r>
          </w:p>
        </w:tc>
        <w:tc>
          <w:tcPr>
            <w:tcW w:w="760" w:type="dxa"/>
            <w:tcBorders>
              <w:left w:val="single" w:sz="4" w:space="0" w:color="auto"/>
              <w:right w:val="single" w:sz="4" w:space="0" w:color="auto"/>
            </w:tcBorders>
            <w:vAlign w:val="center"/>
          </w:tcPr>
          <w:p w:rsidR="00E27067" w:rsidRPr="009A669B" w:rsidRDefault="001A25CD" w:rsidP="00787204">
            <w:pPr>
              <w:jc w:val="center"/>
              <w:rPr>
                <w:rFonts w:asciiTheme="minorHAnsi" w:hAnsiTheme="minorHAnsi"/>
                <w:sz w:val="16"/>
                <w:szCs w:val="16"/>
              </w:rPr>
            </w:pPr>
            <w:r>
              <w:rPr>
                <w:rFonts w:asciiTheme="minorHAnsi" w:hAnsiTheme="minorHAnsi"/>
                <w:sz w:val="16"/>
                <w:szCs w:val="16"/>
              </w:rPr>
              <w:t>51 (6.3)</w:t>
            </w:r>
          </w:p>
        </w:tc>
        <w:tc>
          <w:tcPr>
            <w:tcW w:w="760" w:type="dxa"/>
            <w:tcBorders>
              <w:left w:val="single" w:sz="4" w:space="0" w:color="auto"/>
              <w:right w:val="nil"/>
            </w:tcBorders>
            <w:vAlign w:val="center"/>
          </w:tcPr>
          <w:p w:rsidR="00E27067" w:rsidRPr="009A669B" w:rsidRDefault="001A25CD" w:rsidP="00787204">
            <w:pPr>
              <w:jc w:val="center"/>
              <w:rPr>
                <w:rFonts w:asciiTheme="minorHAnsi" w:hAnsiTheme="minorHAnsi"/>
                <w:sz w:val="16"/>
                <w:szCs w:val="16"/>
              </w:rPr>
            </w:pPr>
            <w:r>
              <w:rPr>
                <w:rFonts w:asciiTheme="minorHAnsi" w:hAnsiTheme="minorHAnsi"/>
                <w:sz w:val="16"/>
                <w:szCs w:val="16"/>
              </w:rPr>
              <w:t>48 (5.9)</w:t>
            </w:r>
          </w:p>
        </w:tc>
        <w:tc>
          <w:tcPr>
            <w:tcW w:w="760" w:type="dxa"/>
            <w:tcBorders>
              <w:left w:val="nil"/>
              <w:right w:val="nil"/>
            </w:tcBorders>
            <w:vAlign w:val="center"/>
          </w:tcPr>
          <w:p w:rsidR="00E27067" w:rsidRPr="009A669B" w:rsidRDefault="001A25CD" w:rsidP="00787204">
            <w:pPr>
              <w:jc w:val="center"/>
              <w:rPr>
                <w:rFonts w:asciiTheme="minorHAnsi" w:hAnsiTheme="minorHAnsi"/>
                <w:sz w:val="16"/>
                <w:szCs w:val="16"/>
              </w:rPr>
            </w:pPr>
            <w:r>
              <w:rPr>
                <w:rFonts w:asciiTheme="minorHAnsi" w:hAnsiTheme="minorHAnsi"/>
                <w:sz w:val="16"/>
                <w:szCs w:val="16"/>
              </w:rPr>
              <w:t>55 (6.8)</w:t>
            </w:r>
          </w:p>
        </w:tc>
        <w:tc>
          <w:tcPr>
            <w:tcW w:w="760" w:type="dxa"/>
            <w:tcBorders>
              <w:left w:val="nil"/>
              <w:right w:val="nil"/>
            </w:tcBorders>
            <w:vAlign w:val="center"/>
          </w:tcPr>
          <w:p w:rsidR="00E27067" w:rsidRPr="009A669B" w:rsidRDefault="001A25CD" w:rsidP="00787204">
            <w:pPr>
              <w:jc w:val="center"/>
              <w:rPr>
                <w:rFonts w:asciiTheme="minorHAnsi" w:hAnsiTheme="minorHAnsi"/>
                <w:sz w:val="16"/>
                <w:szCs w:val="16"/>
              </w:rPr>
            </w:pPr>
            <w:r>
              <w:rPr>
                <w:rFonts w:asciiTheme="minorHAnsi" w:hAnsiTheme="minorHAnsi"/>
                <w:sz w:val="16"/>
                <w:szCs w:val="16"/>
              </w:rPr>
              <w:t>27</w:t>
            </w:r>
            <w:r w:rsidR="00EF21C7">
              <w:rPr>
                <w:rFonts w:asciiTheme="minorHAnsi" w:hAnsiTheme="minorHAnsi"/>
                <w:sz w:val="16"/>
                <w:szCs w:val="16"/>
              </w:rPr>
              <w:t xml:space="preserve"> (3.3)</w:t>
            </w:r>
          </w:p>
        </w:tc>
      </w:tr>
      <w:tr w:rsidR="00E27067" w:rsidRPr="009A669B" w:rsidTr="00E27067">
        <w:tc>
          <w:tcPr>
            <w:tcW w:w="1710" w:type="dxa"/>
            <w:tcBorders>
              <w:left w:val="nil"/>
              <w:right w:val="single" w:sz="4" w:space="0" w:color="auto"/>
            </w:tcBorders>
          </w:tcPr>
          <w:p w:rsidR="00E27067" w:rsidRDefault="00E27067" w:rsidP="00E27067">
            <w:pPr>
              <w:rPr>
                <w:rFonts w:asciiTheme="minorHAnsi" w:hAnsiTheme="minorHAnsi"/>
                <w:sz w:val="16"/>
                <w:szCs w:val="16"/>
              </w:rPr>
            </w:pPr>
            <w:r>
              <w:rPr>
                <w:rFonts w:asciiTheme="minorHAnsi" w:hAnsiTheme="minorHAnsi"/>
                <w:sz w:val="16"/>
                <w:szCs w:val="16"/>
              </w:rPr>
              <w:t>Serious pneumonia</w:t>
            </w:r>
          </w:p>
        </w:tc>
        <w:tc>
          <w:tcPr>
            <w:tcW w:w="759" w:type="dxa"/>
            <w:tcBorders>
              <w:left w:val="single" w:sz="4" w:space="0" w:color="auto"/>
              <w:right w:val="single" w:sz="4" w:space="0" w:color="auto"/>
            </w:tcBorders>
            <w:vAlign w:val="center"/>
          </w:tcPr>
          <w:p w:rsidR="00E27067" w:rsidRPr="009A669B" w:rsidRDefault="001A25CD" w:rsidP="00787204">
            <w:pPr>
              <w:jc w:val="center"/>
              <w:rPr>
                <w:rFonts w:asciiTheme="minorHAnsi" w:hAnsiTheme="minorHAnsi"/>
                <w:sz w:val="16"/>
                <w:szCs w:val="16"/>
              </w:rPr>
            </w:pPr>
            <w:r>
              <w:rPr>
                <w:rFonts w:asciiTheme="minorHAnsi" w:hAnsiTheme="minorHAnsi"/>
                <w:sz w:val="16"/>
                <w:szCs w:val="16"/>
              </w:rPr>
              <w:t>1 (0.2</w:t>
            </w:r>
            <w:r w:rsidR="00E27067">
              <w:rPr>
                <w:rFonts w:asciiTheme="minorHAnsi" w:hAnsiTheme="minorHAnsi"/>
                <w:sz w:val="16"/>
                <w:szCs w:val="16"/>
              </w:rPr>
              <w:t>)</w:t>
            </w:r>
          </w:p>
        </w:tc>
        <w:tc>
          <w:tcPr>
            <w:tcW w:w="760" w:type="dxa"/>
            <w:tcBorders>
              <w:left w:val="single" w:sz="4" w:space="0" w:color="auto"/>
              <w:right w:val="nil"/>
            </w:tcBorders>
            <w:vAlign w:val="center"/>
          </w:tcPr>
          <w:p w:rsidR="00E27067" w:rsidRPr="009A669B" w:rsidRDefault="001A25CD" w:rsidP="00787204">
            <w:pPr>
              <w:jc w:val="center"/>
              <w:rPr>
                <w:rFonts w:asciiTheme="minorHAnsi" w:hAnsiTheme="minorHAnsi"/>
                <w:sz w:val="16"/>
                <w:szCs w:val="16"/>
              </w:rPr>
            </w:pPr>
            <w:r>
              <w:rPr>
                <w:rFonts w:asciiTheme="minorHAnsi" w:hAnsiTheme="minorHAnsi"/>
                <w:sz w:val="16"/>
                <w:szCs w:val="16"/>
              </w:rPr>
              <w:t>1 (0.5</w:t>
            </w:r>
            <w:r w:rsidR="00997E23">
              <w:rPr>
                <w:rFonts w:asciiTheme="minorHAnsi" w:hAnsiTheme="minorHAnsi"/>
                <w:sz w:val="16"/>
                <w:szCs w:val="16"/>
              </w:rPr>
              <w:t>)</w:t>
            </w:r>
          </w:p>
        </w:tc>
        <w:tc>
          <w:tcPr>
            <w:tcW w:w="760" w:type="dxa"/>
            <w:tcBorders>
              <w:left w:val="nil"/>
              <w:right w:val="nil"/>
            </w:tcBorders>
            <w:vAlign w:val="center"/>
          </w:tcPr>
          <w:p w:rsidR="00E27067" w:rsidRPr="009A669B" w:rsidRDefault="00997E23" w:rsidP="00787204">
            <w:pPr>
              <w:jc w:val="center"/>
              <w:rPr>
                <w:rFonts w:asciiTheme="minorHAnsi" w:hAnsiTheme="minorHAnsi"/>
                <w:sz w:val="16"/>
                <w:szCs w:val="16"/>
              </w:rPr>
            </w:pPr>
            <w:r>
              <w:rPr>
                <w:rFonts w:asciiTheme="minorHAnsi" w:hAnsiTheme="minorHAnsi"/>
                <w:sz w:val="16"/>
                <w:szCs w:val="16"/>
              </w:rPr>
              <w:t>3 (1</w:t>
            </w:r>
            <w:r w:rsidR="001A25CD">
              <w:rPr>
                <w:rFonts w:asciiTheme="minorHAnsi" w:hAnsiTheme="minorHAnsi"/>
                <w:sz w:val="16"/>
                <w:szCs w:val="16"/>
              </w:rPr>
              <w:t>.5</w:t>
            </w:r>
            <w:r>
              <w:rPr>
                <w:rFonts w:asciiTheme="minorHAnsi" w:hAnsiTheme="minorHAnsi"/>
                <w:sz w:val="16"/>
                <w:szCs w:val="16"/>
              </w:rPr>
              <w:t>)</w:t>
            </w:r>
          </w:p>
        </w:tc>
        <w:tc>
          <w:tcPr>
            <w:tcW w:w="760" w:type="dxa"/>
            <w:tcBorders>
              <w:left w:val="nil"/>
              <w:right w:val="nil"/>
            </w:tcBorders>
            <w:vAlign w:val="center"/>
          </w:tcPr>
          <w:p w:rsidR="00E27067" w:rsidRPr="009A669B" w:rsidRDefault="00997E23" w:rsidP="00787204">
            <w:pPr>
              <w:jc w:val="center"/>
              <w:rPr>
                <w:rFonts w:asciiTheme="minorHAnsi" w:hAnsiTheme="minorHAnsi"/>
                <w:sz w:val="16"/>
                <w:szCs w:val="16"/>
              </w:rPr>
            </w:pPr>
            <w:r>
              <w:rPr>
                <w:rFonts w:asciiTheme="minorHAnsi" w:hAnsiTheme="minorHAnsi"/>
                <w:sz w:val="16"/>
                <w:szCs w:val="16"/>
              </w:rPr>
              <w:t>5 (1</w:t>
            </w:r>
            <w:r w:rsidR="001A25CD">
              <w:rPr>
                <w:rFonts w:asciiTheme="minorHAnsi" w:hAnsiTheme="minorHAnsi"/>
                <w:sz w:val="16"/>
                <w:szCs w:val="16"/>
              </w:rPr>
              <w:t>.2</w:t>
            </w:r>
            <w:r>
              <w:rPr>
                <w:rFonts w:asciiTheme="minorHAnsi" w:hAnsiTheme="minorHAnsi"/>
                <w:sz w:val="16"/>
                <w:szCs w:val="16"/>
              </w:rPr>
              <w:t>)</w:t>
            </w:r>
          </w:p>
        </w:tc>
        <w:tc>
          <w:tcPr>
            <w:tcW w:w="760" w:type="dxa"/>
            <w:tcBorders>
              <w:left w:val="nil"/>
              <w:right w:val="nil"/>
            </w:tcBorders>
            <w:vAlign w:val="center"/>
          </w:tcPr>
          <w:p w:rsidR="00E27067" w:rsidRPr="009A669B" w:rsidRDefault="001A25CD" w:rsidP="00787204">
            <w:pPr>
              <w:jc w:val="center"/>
              <w:rPr>
                <w:rFonts w:asciiTheme="minorHAnsi" w:hAnsiTheme="minorHAnsi"/>
                <w:sz w:val="16"/>
                <w:szCs w:val="16"/>
              </w:rPr>
            </w:pPr>
            <w:r>
              <w:rPr>
                <w:rFonts w:asciiTheme="minorHAnsi" w:hAnsiTheme="minorHAnsi"/>
                <w:sz w:val="16"/>
                <w:szCs w:val="16"/>
              </w:rPr>
              <w:t>3 (0.7</w:t>
            </w:r>
            <w:r w:rsidR="00997E23">
              <w:rPr>
                <w:rFonts w:asciiTheme="minorHAnsi" w:hAnsiTheme="minorHAnsi"/>
                <w:sz w:val="16"/>
                <w:szCs w:val="16"/>
              </w:rPr>
              <w:t>)</w:t>
            </w:r>
          </w:p>
        </w:tc>
        <w:tc>
          <w:tcPr>
            <w:tcW w:w="759" w:type="dxa"/>
            <w:tcBorders>
              <w:left w:val="nil"/>
              <w:right w:val="nil"/>
            </w:tcBorders>
            <w:vAlign w:val="center"/>
          </w:tcPr>
          <w:p w:rsidR="00E27067" w:rsidRPr="009A669B" w:rsidRDefault="001A25CD" w:rsidP="00787204">
            <w:pPr>
              <w:jc w:val="center"/>
              <w:rPr>
                <w:rFonts w:asciiTheme="minorHAnsi" w:hAnsiTheme="minorHAnsi"/>
                <w:sz w:val="16"/>
                <w:szCs w:val="16"/>
              </w:rPr>
            </w:pPr>
            <w:r>
              <w:rPr>
                <w:rFonts w:asciiTheme="minorHAnsi" w:hAnsiTheme="minorHAnsi"/>
                <w:sz w:val="16"/>
                <w:szCs w:val="16"/>
              </w:rPr>
              <w:t>2 (</w:t>
            </w:r>
            <w:r w:rsidR="00997E23">
              <w:rPr>
                <w:rFonts w:asciiTheme="minorHAnsi" w:hAnsiTheme="minorHAnsi"/>
                <w:sz w:val="16"/>
                <w:szCs w:val="16"/>
              </w:rPr>
              <w:t>1</w:t>
            </w:r>
            <w:r>
              <w:rPr>
                <w:rFonts w:asciiTheme="minorHAnsi" w:hAnsiTheme="minorHAnsi"/>
                <w:sz w:val="16"/>
                <w:szCs w:val="16"/>
              </w:rPr>
              <w:t>.0</w:t>
            </w:r>
            <w:r w:rsidR="00997E23">
              <w:rPr>
                <w:rFonts w:asciiTheme="minorHAnsi" w:hAnsiTheme="minorHAnsi"/>
                <w:sz w:val="16"/>
                <w:szCs w:val="16"/>
              </w:rPr>
              <w:t>)</w:t>
            </w:r>
          </w:p>
        </w:tc>
        <w:tc>
          <w:tcPr>
            <w:tcW w:w="760" w:type="dxa"/>
            <w:gridSpan w:val="2"/>
            <w:tcBorders>
              <w:left w:val="nil"/>
              <w:right w:val="single" w:sz="4" w:space="0" w:color="auto"/>
            </w:tcBorders>
            <w:vAlign w:val="center"/>
          </w:tcPr>
          <w:p w:rsidR="00E27067" w:rsidRPr="009A669B" w:rsidRDefault="001A25CD" w:rsidP="00787204">
            <w:pPr>
              <w:jc w:val="center"/>
              <w:rPr>
                <w:rFonts w:asciiTheme="minorHAnsi" w:hAnsiTheme="minorHAnsi"/>
                <w:sz w:val="16"/>
                <w:szCs w:val="16"/>
              </w:rPr>
            </w:pPr>
            <w:r>
              <w:rPr>
                <w:rFonts w:asciiTheme="minorHAnsi" w:hAnsiTheme="minorHAnsi"/>
                <w:sz w:val="16"/>
                <w:szCs w:val="16"/>
              </w:rPr>
              <w:t>1 (0.2</w:t>
            </w:r>
            <w:r w:rsidR="00997E23">
              <w:rPr>
                <w:rFonts w:asciiTheme="minorHAnsi" w:hAnsiTheme="minorHAnsi"/>
                <w:sz w:val="16"/>
                <w:szCs w:val="16"/>
              </w:rPr>
              <w:t>)</w:t>
            </w:r>
          </w:p>
        </w:tc>
        <w:tc>
          <w:tcPr>
            <w:tcW w:w="760" w:type="dxa"/>
            <w:tcBorders>
              <w:left w:val="single" w:sz="4" w:space="0" w:color="auto"/>
              <w:right w:val="single" w:sz="4" w:space="0" w:color="auto"/>
            </w:tcBorders>
            <w:vAlign w:val="center"/>
          </w:tcPr>
          <w:p w:rsidR="00E27067" w:rsidRPr="009A669B" w:rsidRDefault="00E27067" w:rsidP="00787204">
            <w:pPr>
              <w:jc w:val="center"/>
              <w:rPr>
                <w:rFonts w:asciiTheme="minorHAnsi" w:hAnsiTheme="minorHAnsi"/>
                <w:sz w:val="16"/>
                <w:szCs w:val="16"/>
              </w:rPr>
            </w:pPr>
          </w:p>
        </w:tc>
        <w:tc>
          <w:tcPr>
            <w:tcW w:w="760" w:type="dxa"/>
            <w:tcBorders>
              <w:left w:val="single" w:sz="4" w:space="0" w:color="auto"/>
              <w:right w:val="nil"/>
            </w:tcBorders>
            <w:vAlign w:val="center"/>
          </w:tcPr>
          <w:p w:rsidR="00E27067" w:rsidRPr="009A669B" w:rsidRDefault="00E27067" w:rsidP="00787204">
            <w:pPr>
              <w:jc w:val="center"/>
              <w:rPr>
                <w:rFonts w:asciiTheme="minorHAnsi" w:hAnsiTheme="minorHAnsi"/>
                <w:sz w:val="16"/>
                <w:szCs w:val="16"/>
              </w:rPr>
            </w:pPr>
          </w:p>
        </w:tc>
        <w:tc>
          <w:tcPr>
            <w:tcW w:w="760" w:type="dxa"/>
            <w:tcBorders>
              <w:left w:val="nil"/>
              <w:right w:val="nil"/>
            </w:tcBorders>
            <w:vAlign w:val="center"/>
          </w:tcPr>
          <w:p w:rsidR="00E27067" w:rsidRPr="009A669B" w:rsidRDefault="00E27067" w:rsidP="00787204">
            <w:pPr>
              <w:jc w:val="center"/>
              <w:rPr>
                <w:rFonts w:asciiTheme="minorHAnsi" w:hAnsiTheme="minorHAnsi"/>
                <w:sz w:val="16"/>
                <w:szCs w:val="16"/>
              </w:rPr>
            </w:pPr>
          </w:p>
        </w:tc>
        <w:tc>
          <w:tcPr>
            <w:tcW w:w="760" w:type="dxa"/>
            <w:tcBorders>
              <w:left w:val="nil"/>
              <w:right w:val="nil"/>
            </w:tcBorders>
            <w:vAlign w:val="center"/>
          </w:tcPr>
          <w:p w:rsidR="00E27067" w:rsidRPr="009A669B" w:rsidRDefault="00E27067" w:rsidP="00787204">
            <w:pPr>
              <w:jc w:val="center"/>
              <w:rPr>
                <w:rFonts w:asciiTheme="minorHAnsi" w:hAnsiTheme="minorHAnsi"/>
                <w:sz w:val="16"/>
                <w:szCs w:val="16"/>
              </w:rPr>
            </w:pPr>
          </w:p>
        </w:tc>
      </w:tr>
      <w:tr w:rsidR="00E27067" w:rsidRPr="009A669B" w:rsidTr="00E27067">
        <w:tc>
          <w:tcPr>
            <w:tcW w:w="1710" w:type="dxa"/>
            <w:tcBorders>
              <w:left w:val="nil"/>
              <w:right w:val="single" w:sz="4" w:space="0" w:color="auto"/>
            </w:tcBorders>
          </w:tcPr>
          <w:p w:rsidR="00E27067" w:rsidRDefault="00E27067" w:rsidP="00E27067">
            <w:pPr>
              <w:rPr>
                <w:rFonts w:asciiTheme="minorHAnsi" w:hAnsiTheme="minorHAnsi"/>
                <w:sz w:val="16"/>
                <w:szCs w:val="16"/>
              </w:rPr>
            </w:pPr>
            <w:r>
              <w:rPr>
                <w:rFonts w:asciiTheme="minorHAnsi" w:hAnsiTheme="minorHAnsi"/>
                <w:sz w:val="16"/>
                <w:szCs w:val="16"/>
              </w:rPr>
              <w:lastRenderedPageBreak/>
              <w:t>Fatal pneumonia</w:t>
            </w:r>
          </w:p>
        </w:tc>
        <w:tc>
          <w:tcPr>
            <w:tcW w:w="759" w:type="dxa"/>
            <w:tcBorders>
              <w:left w:val="single" w:sz="4" w:space="0" w:color="auto"/>
              <w:right w:val="single" w:sz="4" w:space="0" w:color="auto"/>
            </w:tcBorders>
            <w:vAlign w:val="center"/>
          </w:tcPr>
          <w:p w:rsidR="00E27067" w:rsidRPr="009A669B" w:rsidRDefault="00E27067" w:rsidP="00787204">
            <w:pPr>
              <w:jc w:val="center"/>
              <w:rPr>
                <w:rFonts w:asciiTheme="minorHAnsi" w:hAnsiTheme="minorHAnsi"/>
                <w:sz w:val="16"/>
                <w:szCs w:val="16"/>
              </w:rPr>
            </w:pPr>
            <w:r>
              <w:rPr>
                <w:rFonts w:asciiTheme="minorHAnsi" w:hAnsiTheme="minorHAnsi"/>
                <w:sz w:val="16"/>
                <w:szCs w:val="16"/>
              </w:rPr>
              <w:t>0</w:t>
            </w:r>
          </w:p>
        </w:tc>
        <w:tc>
          <w:tcPr>
            <w:tcW w:w="760" w:type="dxa"/>
            <w:tcBorders>
              <w:left w:val="single" w:sz="4" w:space="0" w:color="auto"/>
              <w:right w:val="nil"/>
            </w:tcBorders>
            <w:vAlign w:val="center"/>
          </w:tcPr>
          <w:p w:rsidR="00E27067" w:rsidRPr="009A669B" w:rsidRDefault="00997E23" w:rsidP="00787204">
            <w:pPr>
              <w:jc w:val="center"/>
              <w:rPr>
                <w:rFonts w:asciiTheme="minorHAnsi" w:hAnsiTheme="minorHAnsi"/>
                <w:sz w:val="16"/>
                <w:szCs w:val="16"/>
              </w:rPr>
            </w:pPr>
            <w:r>
              <w:rPr>
                <w:rFonts w:asciiTheme="minorHAnsi" w:hAnsiTheme="minorHAnsi"/>
                <w:sz w:val="16"/>
                <w:szCs w:val="16"/>
              </w:rPr>
              <w:t>0</w:t>
            </w:r>
          </w:p>
        </w:tc>
        <w:tc>
          <w:tcPr>
            <w:tcW w:w="760" w:type="dxa"/>
            <w:tcBorders>
              <w:left w:val="nil"/>
              <w:right w:val="nil"/>
            </w:tcBorders>
            <w:vAlign w:val="center"/>
          </w:tcPr>
          <w:p w:rsidR="00E27067" w:rsidRPr="009A669B" w:rsidRDefault="00997E23" w:rsidP="00787204">
            <w:pPr>
              <w:jc w:val="center"/>
              <w:rPr>
                <w:rFonts w:asciiTheme="minorHAnsi" w:hAnsiTheme="minorHAnsi"/>
                <w:sz w:val="16"/>
                <w:szCs w:val="16"/>
              </w:rPr>
            </w:pPr>
            <w:r>
              <w:rPr>
                <w:rFonts w:asciiTheme="minorHAnsi" w:hAnsiTheme="minorHAnsi"/>
                <w:sz w:val="16"/>
                <w:szCs w:val="16"/>
              </w:rPr>
              <w:t>0</w:t>
            </w:r>
          </w:p>
        </w:tc>
        <w:tc>
          <w:tcPr>
            <w:tcW w:w="760" w:type="dxa"/>
            <w:tcBorders>
              <w:left w:val="nil"/>
              <w:right w:val="nil"/>
            </w:tcBorders>
            <w:vAlign w:val="center"/>
          </w:tcPr>
          <w:p w:rsidR="00E27067" w:rsidRPr="009A669B" w:rsidRDefault="00997E23" w:rsidP="00787204">
            <w:pPr>
              <w:jc w:val="center"/>
              <w:rPr>
                <w:rFonts w:asciiTheme="minorHAnsi" w:hAnsiTheme="minorHAnsi"/>
                <w:sz w:val="16"/>
                <w:szCs w:val="16"/>
              </w:rPr>
            </w:pPr>
            <w:r>
              <w:rPr>
                <w:rFonts w:asciiTheme="minorHAnsi" w:hAnsiTheme="minorHAnsi"/>
                <w:sz w:val="16"/>
                <w:szCs w:val="16"/>
              </w:rPr>
              <w:t>0</w:t>
            </w:r>
          </w:p>
        </w:tc>
        <w:tc>
          <w:tcPr>
            <w:tcW w:w="760" w:type="dxa"/>
            <w:tcBorders>
              <w:left w:val="nil"/>
              <w:right w:val="nil"/>
            </w:tcBorders>
            <w:vAlign w:val="center"/>
          </w:tcPr>
          <w:p w:rsidR="00E27067" w:rsidRPr="009A669B" w:rsidRDefault="00997E23" w:rsidP="00787204">
            <w:pPr>
              <w:jc w:val="center"/>
              <w:rPr>
                <w:rFonts w:asciiTheme="minorHAnsi" w:hAnsiTheme="minorHAnsi"/>
                <w:sz w:val="16"/>
                <w:szCs w:val="16"/>
              </w:rPr>
            </w:pPr>
            <w:r>
              <w:rPr>
                <w:rFonts w:asciiTheme="minorHAnsi" w:hAnsiTheme="minorHAnsi"/>
                <w:sz w:val="16"/>
                <w:szCs w:val="16"/>
              </w:rPr>
              <w:t>0</w:t>
            </w:r>
          </w:p>
        </w:tc>
        <w:tc>
          <w:tcPr>
            <w:tcW w:w="759" w:type="dxa"/>
            <w:tcBorders>
              <w:left w:val="nil"/>
              <w:right w:val="nil"/>
            </w:tcBorders>
            <w:vAlign w:val="center"/>
          </w:tcPr>
          <w:p w:rsidR="00E27067" w:rsidRPr="009A669B" w:rsidRDefault="00997E23" w:rsidP="00787204">
            <w:pPr>
              <w:jc w:val="center"/>
              <w:rPr>
                <w:rFonts w:asciiTheme="minorHAnsi" w:hAnsiTheme="minorHAnsi"/>
                <w:sz w:val="16"/>
                <w:szCs w:val="16"/>
              </w:rPr>
            </w:pPr>
            <w:r>
              <w:rPr>
                <w:rFonts w:asciiTheme="minorHAnsi" w:hAnsiTheme="minorHAnsi"/>
                <w:sz w:val="16"/>
                <w:szCs w:val="16"/>
              </w:rPr>
              <w:t>0</w:t>
            </w:r>
          </w:p>
        </w:tc>
        <w:tc>
          <w:tcPr>
            <w:tcW w:w="760" w:type="dxa"/>
            <w:gridSpan w:val="2"/>
            <w:tcBorders>
              <w:left w:val="nil"/>
              <w:right w:val="single" w:sz="4" w:space="0" w:color="auto"/>
            </w:tcBorders>
            <w:vAlign w:val="center"/>
          </w:tcPr>
          <w:p w:rsidR="00E27067" w:rsidRPr="009A669B" w:rsidRDefault="00997E23" w:rsidP="00787204">
            <w:pPr>
              <w:jc w:val="center"/>
              <w:rPr>
                <w:rFonts w:asciiTheme="minorHAnsi" w:hAnsiTheme="minorHAnsi"/>
                <w:sz w:val="16"/>
                <w:szCs w:val="16"/>
              </w:rPr>
            </w:pPr>
            <w:r>
              <w:rPr>
                <w:rFonts w:asciiTheme="minorHAnsi" w:hAnsiTheme="minorHAnsi"/>
                <w:sz w:val="16"/>
                <w:szCs w:val="16"/>
              </w:rPr>
              <w:t>0</w:t>
            </w:r>
          </w:p>
        </w:tc>
        <w:tc>
          <w:tcPr>
            <w:tcW w:w="760" w:type="dxa"/>
            <w:tcBorders>
              <w:left w:val="single" w:sz="4" w:space="0" w:color="auto"/>
              <w:right w:val="single" w:sz="4" w:space="0" w:color="auto"/>
            </w:tcBorders>
            <w:vAlign w:val="center"/>
          </w:tcPr>
          <w:p w:rsidR="00E27067" w:rsidRPr="009A669B" w:rsidRDefault="00680281" w:rsidP="00787204">
            <w:pPr>
              <w:jc w:val="center"/>
              <w:rPr>
                <w:rFonts w:asciiTheme="minorHAnsi" w:hAnsiTheme="minorHAnsi"/>
                <w:sz w:val="16"/>
                <w:szCs w:val="16"/>
              </w:rPr>
            </w:pPr>
            <w:r>
              <w:rPr>
                <w:rFonts w:asciiTheme="minorHAnsi" w:hAnsiTheme="minorHAnsi"/>
                <w:sz w:val="16"/>
                <w:szCs w:val="16"/>
              </w:rPr>
              <w:t>1 (0.</w:t>
            </w:r>
            <w:r w:rsidR="002371C1">
              <w:rPr>
                <w:rFonts w:asciiTheme="minorHAnsi" w:hAnsiTheme="minorHAnsi"/>
                <w:sz w:val="16"/>
                <w:szCs w:val="16"/>
              </w:rPr>
              <w:t>1)</w:t>
            </w:r>
          </w:p>
        </w:tc>
        <w:tc>
          <w:tcPr>
            <w:tcW w:w="760" w:type="dxa"/>
            <w:tcBorders>
              <w:left w:val="single" w:sz="4" w:space="0" w:color="auto"/>
              <w:right w:val="nil"/>
            </w:tcBorders>
            <w:vAlign w:val="center"/>
          </w:tcPr>
          <w:p w:rsidR="00E27067" w:rsidRPr="009A669B" w:rsidRDefault="00997E23" w:rsidP="00787204">
            <w:pPr>
              <w:jc w:val="center"/>
              <w:rPr>
                <w:rFonts w:asciiTheme="minorHAnsi" w:hAnsiTheme="minorHAnsi"/>
                <w:sz w:val="16"/>
                <w:szCs w:val="16"/>
              </w:rPr>
            </w:pPr>
            <w:r>
              <w:rPr>
                <w:rFonts w:asciiTheme="minorHAnsi" w:hAnsiTheme="minorHAnsi"/>
                <w:sz w:val="16"/>
                <w:szCs w:val="16"/>
              </w:rPr>
              <w:t>0</w:t>
            </w:r>
          </w:p>
        </w:tc>
        <w:tc>
          <w:tcPr>
            <w:tcW w:w="760" w:type="dxa"/>
            <w:tcBorders>
              <w:left w:val="nil"/>
              <w:right w:val="nil"/>
            </w:tcBorders>
            <w:vAlign w:val="center"/>
          </w:tcPr>
          <w:p w:rsidR="00E27067" w:rsidRPr="009A669B" w:rsidRDefault="00680281" w:rsidP="00787204">
            <w:pPr>
              <w:jc w:val="center"/>
              <w:rPr>
                <w:rFonts w:asciiTheme="minorHAnsi" w:hAnsiTheme="minorHAnsi"/>
                <w:sz w:val="16"/>
                <w:szCs w:val="16"/>
              </w:rPr>
            </w:pPr>
            <w:r>
              <w:rPr>
                <w:rFonts w:asciiTheme="minorHAnsi" w:hAnsiTheme="minorHAnsi"/>
                <w:sz w:val="16"/>
                <w:szCs w:val="16"/>
              </w:rPr>
              <w:t>7 (0.9</w:t>
            </w:r>
            <w:r w:rsidR="00997E23">
              <w:rPr>
                <w:rFonts w:asciiTheme="minorHAnsi" w:hAnsiTheme="minorHAnsi"/>
                <w:sz w:val="16"/>
                <w:szCs w:val="16"/>
              </w:rPr>
              <w:t>)</w:t>
            </w:r>
          </w:p>
        </w:tc>
        <w:tc>
          <w:tcPr>
            <w:tcW w:w="760" w:type="dxa"/>
            <w:tcBorders>
              <w:left w:val="nil"/>
              <w:right w:val="nil"/>
            </w:tcBorders>
            <w:vAlign w:val="center"/>
          </w:tcPr>
          <w:p w:rsidR="00E27067" w:rsidRPr="009A669B" w:rsidRDefault="00997E23" w:rsidP="00787204">
            <w:pPr>
              <w:jc w:val="center"/>
              <w:rPr>
                <w:rFonts w:asciiTheme="minorHAnsi" w:hAnsiTheme="minorHAnsi"/>
                <w:sz w:val="16"/>
                <w:szCs w:val="16"/>
              </w:rPr>
            </w:pPr>
            <w:r>
              <w:rPr>
                <w:rFonts w:asciiTheme="minorHAnsi" w:hAnsiTheme="minorHAnsi"/>
                <w:sz w:val="16"/>
                <w:szCs w:val="16"/>
              </w:rPr>
              <w:t>0</w:t>
            </w:r>
          </w:p>
        </w:tc>
      </w:tr>
    </w:tbl>
    <w:p w:rsidR="007F2272" w:rsidRPr="00256E9C" w:rsidRDefault="007F2272" w:rsidP="007F2272">
      <w:pPr>
        <w:rPr>
          <w:rFonts w:asciiTheme="minorHAnsi" w:hAnsiTheme="minorHAnsi"/>
          <w:sz w:val="16"/>
          <w:szCs w:val="16"/>
        </w:rPr>
      </w:pPr>
      <w:r>
        <w:rPr>
          <w:rFonts w:asciiTheme="minorHAnsi" w:hAnsiTheme="minorHAnsi"/>
          <w:sz w:val="16"/>
          <w:szCs w:val="16"/>
        </w:rPr>
        <w:t>Data obtained from FDA review</w:t>
      </w:r>
      <w:r w:rsidR="00680281">
        <w:rPr>
          <w:rFonts w:asciiTheme="minorHAnsi" w:hAnsiTheme="minorHAnsi"/>
          <w:sz w:val="16"/>
          <w:szCs w:val="16"/>
        </w:rPr>
        <w:t xml:space="preserve"> and product package insert</w:t>
      </w:r>
    </w:p>
    <w:p w:rsidR="00555513" w:rsidRDefault="00555513">
      <w:pPr>
        <w:rPr>
          <w:sz w:val="20"/>
          <w:szCs w:val="20"/>
        </w:rPr>
      </w:pPr>
    </w:p>
    <w:p w:rsidR="00555513" w:rsidRPr="00144456" w:rsidRDefault="00467B34" w:rsidP="00144456">
      <w:pPr>
        <w:pStyle w:val="ListParagraph"/>
        <w:numPr>
          <w:ilvl w:val="0"/>
          <w:numId w:val="1"/>
        </w:numPr>
        <w:rPr>
          <w:sz w:val="20"/>
          <w:szCs w:val="20"/>
        </w:rPr>
      </w:pPr>
      <w:r>
        <w:rPr>
          <w:sz w:val="20"/>
          <w:szCs w:val="20"/>
        </w:rPr>
        <w:t xml:space="preserve">Ocular Effects:  </w:t>
      </w:r>
      <w:r w:rsidR="00555513" w:rsidRPr="00144456">
        <w:rPr>
          <w:sz w:val="20"/>
          <w:szCs w:val="20"/>
        </w:rPr>
        <w:t xml:space="preserve">Use of FF/VI did not increase the incidence of </w:t>
      </w:r>
      <w:r w:rsidR="00C21DFE" w:rsidRPr="00144456">
        <w:rPr>
          <w:sz w:val="20"/>
          <w:szCs w:val="20"/>
        </w:rPr>
        <w:t xml:space="preserve">glaucoma, increased IOP, and cataracts </w:t>
      </w:r>
      <w:r w:rsidR="00555513" w:rsidRPr="00144456">
        <w:rPr>
          <w:sz w:val="20"/>
          <w:szCs w:val="20"/>
        </w:rPr>
        <w:t xml:space="preserve">based on </w:t>
      </w:r>
      <w:r w:rsidR="00553584">
        <w:rPr>
          <w:sz w:val="20"/>
          <w:szCs w:val="20"/>
        </w:rPr>
        <w:t xml:space="preserve">the two </w:t>
      </w:r>
      <w:r w:rsidR="00573BEB">
        <w:rPr>
          <w:sz w:val="20"/>
          <w:szCs w:val="20"/>
        </w:rPr>
        <w:t xml:space="preserve">1-year </w:t>
      </w:r>
      <w:r w:rsidR="00553584">
        <w:rPr>
          <w:sz w:val="20"/>
          <w:szCs w:val="20"/>
        </w:rPr>
        <w:t>trials</w:t>
      </w:r>
      <w:r w:rsidR="00555513" w:rsidRPr="00144456">
        <w:rPr>
          <w:sz w:val="20"/>
          <w:szCs w:val="20"/>
        </w:rPr>
        <w:t xml:space="preserve">.  </w:t>
      </w:r>
      <w:r w:rsidR="00C21DFE" w:rsidRPr="00144456">
        <w:rPr>
          <w:sz w:val="20"/>
          <w:szCs w:val="20"/>
        </w:rPr>
        <w:t xml:space="preserve">Ocular effects </w:t>
      </w:r>
      <w:r w:rsidR="00555513" w:rsidRPr="00144456">
        <w:rPr>
          <w:sz w:val="20"/>
          <w:szCs w:val="20"/>
        </w:rPr>
        <w:t>were reported 0.9%, 1%, 0.9%, and 1% of patients in the FF/VI 50/25, 100/25, 200/25, and vilanterol groups respectively.  PI</w:t>
      </w:r>
    </w:p>
    <w:p w:rsidR="00555513" w:rsidRDefault="00555513">
      <w:pPr>
        <w:rPr>
          <w:sz w:val="20"/>
          <w:szCs w:val="20"/>
        </w:rPr>
      </w:pPr>
    </w:p>
    <w:p w:rsidR="00E6651D" w:rsidRPr="00DA738E" w:rsidRDefault="00467B34" w:rsidP="00E6651D">
      <w:pPr>
        <w:pStyle w:val="ListParagraph"/>
        <w:numPr>
          <w:ilvl w:val="0"/>
          <w:numId w:val="1"/>
        </w:numPr>
        <w:rPr>
          <w:sz w:val="20"/>
          <w:szCs w:val="20"/>
        </w:rPr>
      </w:pPr>
      <w:r w:rsidRPr="00DA738E">
        <w:rPr>
          <w:sz w:val="20"/>
          <w:szCs w:val="20"/>
        </w:rPr>
        <w:t xml:space="preserve">Bone Fracture:  </w:t>
      </w:r>
      <w:r w:rsidR="00C21DFE" w:rsidRPr="00DA738E">
        <w:rPr>
          <w:sz w:val="20"/>
          <w:szCs w:val="20"/>
        </w:rPr>
        <w:t>There was a higher incidence of bone fracture in patients receiving FF/VI (2% each in the 50/25, 100/25, and 200/25 groups vs. 1% vilanterol alone).</w:t>
      </w:r>
      <w:r w:rsidRPr="00DA738E">
        <w:rPr>
          <w:sz w:val="20"/>
          <w:szCs w:val="20"/>
        </w:rPr>
        <w:t xml:space="preserve"> </w:t>
      </w:r>
      <w:r w:rsidR="00DA738E" w:rsidRPr="00DA738E">
        <w:rPr>
          <w:sz w:val="20"/>
          <w:szCs w:val="20"/>
        </w:rPr>
        <w:t>Typically, corticosteroid-associated fractures tend to occur in the lumbar/thoracic spine or pelvis/hip.</w:t>
      </w:r>
      <w:r w:rsidR="00DA738E">
        <w:rPr>
          <w:sz w:val="20"/>
          <w:szCs w:val="20"/>
        </w:rPr>
        <w:t xml:space="preserve">  </w:t>
      </w:r>
      <w:r w:rsidRPr="00DA738E">
        <w:rPr>
          <w:sz w:val="20"/>
          <w:szCs w:val="20"/>
        </w:rPr>
        <w:t xml:space="preserve">The majority of fractures </w:t>
      </w:r>
      <w:r w:rsidR="00DA738E">
        <w:rPr>
          <w:sz w:val="20"/>
          <w:szCs w:val="20"/>
        </w:rPr>
        <w:t xml:space="preserve">reported in the FF/VI trials </w:t>
      </w:r>
      <w:r w:rsidRPr="00DA738E">
        <w:rPr>
          <w:sz w:val="20"/>
          <w:szCs w:val="20"/>
        </w:rPr>
        <w:t xml:space="preserve">were considered to be traumatic and occurred mainly in the upper and lower extremities.  </w:t>
      </w:r>
    </w:p>
    <w:p w:rsidR="00DA738E" w:rsidRPr="00DA738E" w:rsidRDefault="00DA738E" w:rsidP="00DA738E">
      <w:pPr>
        <w:rPr>
          <w:sz w:val="20"/>
          <w:szCs w:val="20"/>
        </w:rPr>
      </w:pPr>
    </w:p>
    <w:p w:rsidR="006701E2" w:rsidRDefault="00E6651D" w:rsidP="00144456">
      <w:pPr>
        <w:pStyle w:val="ListParagraph"/>
        <w:numPr>
          <w:ilvl w:val="0"/>
          <w:numId w:val="1"/>
        </w:numPr>
        <w:rPr>
          <w:sz w:val="20"/>
          <w:szCs w:val="20"/>
        </w:rPr>
      </w:pPr>
      <w:r>
        <w:rPr>
          <w:sz w:val="20"/>
          <w:szCs w:val="20"/>
        </w:rPr>
        <w:t>Cardiac:</w:t>
      </w:r>
      <w:r w:rsidR="00E82D7E">
        <w:rPr>
          <w:sz w:val="20"/>
          <w:szCs w:val="20"/>
        </w:rPr>
        <w:t xml:space="preserve">  </w:t>
      </w:r>
      <w:r w:rsidR="00AD3DB4">
        <w:rPr>
          <w:sz w:val="20"/>
          <w:szCs w:val="20"/>
        </w:rPr>
        <w:t>In the 6-month trials</w:t>
      </w:r>
      <w:r w:rsidR="006701E2">
        <w:rPr>
          <w:sz w:val="20"/>
          <w:szCs w:val="20"/>
        </w:rPr>
        <w:t xml:space="preserve">, mean maximum post-baseline </w:t>
      </w:r>
      <w:r w:rsidR="00AD3DB4">
        <w:rPr>
          <w:sz w:val="20"/>
          <w:szCs w:val="20"/>
        </w:rPr>
        <w:t xml:space="preserve">changes in </w:t>
      </w:r>
      <w:proofErr w:type="spellStart"/>
      <w:proofErr w:type="gramStart"/>
      <w:r w:rsidR="00AD3DB4">
        <w:rPr>
          <w:sz w:val="20"/>
          <w:szCs w:val="20"/>
        </w:rPr>
        <w:t>QTc</w:t>
      </w:r>
      <w:proofErr w:type="spellEnd"/>
      <w:r w:rsidR="00AD3DB4">
        <w:rPr>
          <w:sz w:val="20"/>
          <w:szCs w:val="20"/>
        </w:rPr>
        <w:t>(</w:t>
      </w:r>
      <w:proofErr w:type="gramEnd"/>
      <w:r w:rsidR="00AD3DB4">
        <w:rPr>
          <w:sz w:val="20"/>
          <w:szCs w:val="20"/>
        </w:rPr>
        <w:t xml:space="preserve">F) and percentage of patients with  </w:t>
      </w:r>
      <w:proofErr w:type="spellStart"/>
      <w:r w:rsidR="00AD3DB4">
        <w:rPr>
          <w:sz w:val="20"/>
          <w:szCs w:val="20"/>
        </w:rPr>
        <w:t>QTc</w:t>
      </w:r>
      <w:proofErr w:type="spellEnd"/>
      <w:r w:rsidR="00AD3DB4">
        <w:rPr>
          <w:sz w:val="20"/>
          <w:szCs w:val="20"/>
        </w:rPr>
        <w:t>(F) &gt; 30msec</w:t>
      </w:r>
      <w:r w:rsidR="006701E2">
        <w:rPr>
          <w:sz w:val="20"/>
          <w:szCs w:val="20"/>
        </w:rPr>
        <w:t xml:space="preserve"> were similar for all active treatments and placebo.  </w:t>
      </w:r>
      <w:r w:rsidR="00AD3DB4">
        <w:rPr>
          <w:sz w:val="20"/>
          <w:szCs w:val="20"/>
        </w:rPr>
        <w:t xml:space="preserve">No patient had a </w:t>
      </w:r>
      <w:proofErr w:type="spellStart"/>
      <w:proofErr w:type="gramStart"/>
      <w:r w:rsidR="00AD3DB4">
        <w:rPr>
          <w:sz w:val="20"/>
          <w:szCs w:val="20"/>
        </w:rPr>
        <w:t>QTc</w:t>
      </w:r>
      <w:proofErr w:type="spellEnd"/>
      <w:r w:rsidR="00AD3DB4">
        <w:rPr>
          <w:sz w:val="20"/>
          <w:szCs w:val="20"/>
        </w:rPr>
        <w:t>(</w:t>
      </w:r>
      <w:proofErr w:type="gramEnd"/>
      <w:r w:rsidR="00AD3DB4">
        <w:rPr>
          <w:sz w:val="20"/>
          <w:szCs w:val="20"/>
        </w:rPr>
        <w:t>F) &gt; 500msec.  Similar results were observed in the active treatment groups in the 1-year trials.</w:t>
      </w:r>
    </w:p>
    <w:p w:rsidR="006701E2" w:rsidRPr="006701E2" w:rsidRDefault="006701E2" w:rsidP="006701E2">
      <w:pPr>
        <w:pStyle w:val="ListParagraph"/>
        <w:rPr>
          <w:sz w:val="20"/>
          <w:szCs w:val="20"/>
        </w:rPr>
      </w:pPr>
    </w:p>
    <w:p w:rsidR="00E6651D" w:rsidRDefault="00E82D7E" w:rsidP="006701E2">
      <w:pPr>
        <w:pStyle w:val="ListParagraph"/>
        <w:ind w:left="360"/>
        <w:rPr>
          <w:sz w:val="20"/>
          <w:szCs w:val="20"/>
        </w:rPr>
      </w:pPr>
      <w:r>
        <w:rPr>
          <w:sz w:val="20"/>
          <w:szCs w:val="20"/>
        </w:rPr>
        <w:t xml:space="preserve">Approximately half the patients in the 6-month trials underwent 24-hour </w:t>
      </w:r>
      <w:proofErr w:type="spellStart"/>
      <w:r>
        <w:rPr>
          <w:sz w:val="20"/>
          <w:szCs w:val="20"/>
        </w:rPr>
        <w:t>Holter</w:t>
      </w:r>
      <w:proofErr w:type="spellEnd"/>
      <w:r>
        <w:rPr>
          <w:sz w:val="20"/>
          <w:szCs w:val="20"/>
        </w:rPr>
        <w:t xml:space="preserve"> monitoring.  The frequency of abnormalities of potential clinical significance was 13-15% (all FF/VI groups), 11% (VI only), </w:t>
      </w:r>
      <w:r w:rsidR="0012186E">
        <w:rPr>
          <w:sz w:val="20"/>
          <w:szCs w:val="20"/>
        </w:rPr>
        <w:t xml:space="preserve">6-14% (FF only), and 10% (placebo).  The most frequently reported abnormalities are shown in </w:t>
      </w:r>
      <w:r w:rsidR="00970B3D">
        <w:rPr>
          <w:b/>
          <w:sz w:val="20"/>
          <w:szCs w:val="20"/>
          <w:u w:val="single"/>
        </w:rPr>
        <w:t>Table 10</w:t>
      </w:r>
      <w:r w:rsidR="0012186E">
        <w:rPr>
          <w:sz w:val="20"/>
          <w:szCs w:val="20"/>
        </w:rPr>
        <w:t>.</w:t>
      </w:r>
    </w:p>
    <w:p w:rsidR="00F27172" w:rsidRDefault="00F27172" w:rsidP="00F27172">
      <w:pPr>
        <w:pStyle w:val="ListParagraph"/>
        <w:rPr>
          <w:sz w:val="20"/>
          <w:szCs w:val="20"/>
        </w:rPr>
      </w:pPr>
    </w:p>
    <w:p w:rsidR="00A67369" w:rsidRPr="00A67369" w:rsidRDefault="00A67369" w:rsidP="00A67369">
      <w:pPr>
        <w:rPr>
          <w:rFonts w:asciiTheme="minorHAnsi" w:hAnsiTheme="minorHAnsi"/>
          <w:b/>
          <w:sz w:val="20"/>
          <w:szCs w:val="20"/>
        </w:rPr>
      </w:pPr>
      <w:r>
        <w:rPr>
          <w:rFonts w:asciiTheme="minorHAnsi" w:hAnsiTheme="minorHAnsi"/>
          <w:b/>
          <w:sz w:val="20"/>
          <w:szCs w:val="20"/>
        </w:rPr>
        <w:t xml:space="preserve">      </w:t>
      </w:r>
      <w:r w:rsidR="007A10BD">
        <w:rPr>
          <w:rFonts w:asciiTheme="minorHAnsi" w:hAnsiTheme="minorHAnsi"/>
          <w:b/>
          <w:sz w:val="20"/>
          <w:szCs w:val="20"/>
        </w:rPr>
        <w:t xml:space="preserve">      </w:t>
      </w:r>
      <w:r w:rsidRPr="00A67369">
        <w:rPr>
          <w:rFonts w:asciiTheme="minorHAnsi" w:hAnsiTheme="minorHAnsi"/>
          <w:b/>
          <w:sz w:val="20"/>
          <w:szCs w:val="20"/>
        </w:rPr>
        <w:t>Table</w:t>
      </w:r>
      <w:r w:rsidR="00970B3D">
        <w:rPr>
          <w:rFonts w:asciiTheme="minorHAnsi" w:hAnsiTheme="minorHAnsi"/>
          <w:b/>
          <w:sz w:val="20"/>
          <w:szCs w:val="20"/>
        </w:rPr>
        <w:t xml:space="preserve"> 10</w:t>
      </w:r>
      <w:r w:rsidRPr="00A67369">
        <w:rPr>
          <w:rFonts w:asciiTheme="minorHAnsi" w:hAnsiTheme="minorHAnsi"/>
          <w:b/>
          <w:sz w:val="20"/>
          <w:szCs w:val="20"/>
        </w:rPr>
        <w:t xml:space="preserve">:  24-Hour </w:t>
      </w:r>
      <w:proofErr w:type="spellStart"/>
      <w:r w:rsidRPr="00A67369">
        <w:rPr>
          <w:rFonts w:asciiTheme="minorHAnsi" w:hAnsiTheme="minorHAnsi"/>
          <w:b/>
          <w:sz w:val="20"/>
          <w:szCs w:val="20"/>
        </w:rPr>
        <w:t>Holter</w:t>
      </w:r>
      <w:proofErr w:type="spellEnd"/>
      <w:r w:rsidRPr="00A67369">
        <w:rPr>
          <w:rFonts w:asciiTheme="minorHAnsi" w:hAnsiTheme="minorHAnsi"/>
          <w:b/>
          <w:sz w:val="20"/>
          <w:szCs w:val="20"/>
        </w:rPr>
        <w:t xml:space="preserve"> Monitor Findings in 6-Month Trials</w:t>
      </w:r>
    </w:p>
    <w:tbl>
      <w:tblPr>
        <w:tblStyle w:val="TableGrid"/>
        <w:tblW w:w="0" w:type="auto"/>
        <w:tblInd w:w="360" w:type="dxa"/>
        <w:tblLook w:val="04A0" w:firstRow="1" w:lastRow="0" w:firstColumn="1" w:lastColumn="0" w:noHBand="0" w:noVBand="1"/>
      </w:tblPr>
      <w:tblGrid>
        <w:gridCol w:w="2808"/>
        <w:gridCol w:w="915"/>
        <w:gridCol w:w="915"/>
        <w:gridCol w:w="916"/>
        <w:gridCol w:w="915"/>
        <w:gridCol w:w="916"/>
        <w:gridCol w:w="915"/>
        <w:gridCol w:w="916"/>
      </w:tblGrid>
      <w:tr w:rsidR="00A67369" w:rsidRPr="00F27172" w:rsidTr="00A67369">
        <w:tc>
          <w:tcPr>
            <w:tcW w:w="2808" w:type="dxa"/>
            <w:tcBorders>
              <w:left w:val="nil"/>
            </w:tcBorders>
            <w:shd w:val="clear" w:color="auto" w:fill="D9D9D9" w:themeFill="background1" w:themeFillShade="D9"/>
          </w:tcPr>
          <w:p w:rsidR="00F27172" w:rsidRPr="00F27172" w:rsidRDefault="00F27172" w:rsidP="00F27172">
            <w:pPr>
              <w:pStyle w:val="ListParagraph"/>
              <w:ind w:left="0"/>
              <w:rPr>
                <w:rFonts w:asciiTheme="minorHAnsi" w:hAnsiTheme="minorHAnsi"/>
                <w:sz w:val="16"/>
                <w:szCs w:val="16"/>
              </w:rPr>
            </w:pPr>
          </w:p>
        </w:tc>
        <w:tc>
          <w:tcPr>
            <w:tcW w:w="915" w:type="dxa"/>
            <w:shd w:val="clear" w:color="auto" w:fill="D9D9D9" w:themeFill="background1" w:themeFillShade="D9"/>
            <w:vAlign w:val="center"/>
          </w:tcPr>
          <w:p w:rsidR="00F27172" w:rsidRPr="00256E9C" w:rsidRDefault="00F27172" w:rsidP="001A25CD">
            <w:pPr>
              <w:jc w:val="center"/>
              <w:rPr>
                <w:rFonts w:asciiTheme="minorHAnsi" w:hAnsiTheme="minorHAnsi"/>
                <w:b/>
                <w:sz w:val="16"/>
                <w:szCs w:val="16"/>
              </w:rPr>
            </w:pPr>
            <w:r w:rsidRPr="00256E9C">
              <w:rPr>
                <w:rFonts w:asciiTheme="minorHAnsi" w:hAnsiTheme="minorHAnsi"/>
                <w:b/>
                <w:sz w:val="16"/>
                <w:szCs w:val="16"/>
              </w:rPr>
              <w:t>FF/VI</w:t>
            </w:r>
          </w:p>
          <w:p w:rsidR="00F27172" w:rsidRPr="00256E9C" w:rsidRDefault="00F27172" w:rsidP="001A25CD">
            <w:pPr>
              <w:jc w:val="center"/>
              <w:rPr>
                <w:rFonts w:asciiTheme="minorHAnsi" w:hAnsiTheme="minorHAnsi"/>
                <w:b/>
                <w:sz w:val="16"/>
                <w:szCs w:val="16"/>
              </w:rPr>
            </w:pPr>
            <w:r w:rsidRPr="00256E9C">
              <w:rPr>
                <w:rFonts w:asciiTheme="minorHAnsi" w:hAnsiTheme="minorHAnsi"/>
                <w:b/>
                <w:sz w:val="16"/>
                <w:szCs w:val="16"/>
              </w:rPr>
              <w:t>100/25</w:t>
            </w:r>
          </w:p>
        </w:tc>
        <w:tc>
          <w:tcPr>
            <w:tcW w:w="915" w:type="dxa"/>
            <w:tcBorders>
              <w:right w:val="nil"/>
            </w:tcBorders>
            <w:shd w:val="clear" w:color="auto" w:fill="D9D9D9" w:themeFill="background1" w:themeFillShade="D9"/>
            <w:vAlign w:val="center"/>
          </w:tcPr>
          <w:p w:rsidR="00F27172" w:rsidRPr="00256E9C" w:rsidRDefault="00F27172" w:rsidP="001A25CD">
            <w:pPr>
              <w:jc w:val="center"/>
              <w:rPr>
                <w:rFonts w:asciiTheme="minorHAnsi" w:hAnsiTheme="minorHAnsi"/>
                <w:b/>
                <w:sz w:val="16"/>
                <w:szCs w:val="16"/>
              </w:rPr>
            </w:pPr>
            <w:r w:rsidRPr="00256E9C">
              <w:rPr>
                <w:rFonts w:asciiTheme="minorHAnsi" w:hAnsiTheme="minorHAnsi"/>
                <w:b/>
                <w:sz w:val="16"/>
                <w:szCs w:val="16"/>
              </w:rPr>
              <w:t>FF/VI</w:t>
            </w:r>
          </w:p>
          <w:p w:rsidR="00F27172" w:rsidRPr="00256E9C" w:rsidRDefault="00F27172" w:rsidP="001A25CD">
            <w:pPr>
              <w:jc w:val="center"/>
              <w:rPr>
                <w:rFonts w:asciiTheme="minorHAnsi" w:hAnsiTheme="minorHAnsi"/>
                <w:b/>
                <w:sz w:val="16"/>
                <w:szCs w:val="16"/>
              </w:rPr>
            </w:pPr>
            <w:r w:rsidRPr="00256E9C">
              <w:rPr>
                <w:rFonts w:asciiTheme="minorHAnsi" w:hAnsiTheme="minorHAnsi"/>
                <w:b/>
                <w:sz w:val="16"/>
                <w:szCs w:val="16"/>
              </w:rPr>
              <w:t>50/25</w:t>
            </w:r>
          </w:p>
        </w:tc>
        <w:tc>
          <w:tcPr>
            <w:tcW w:w="916" w:type="dxa"/>
            <w:tcBorders>
              <w:left w:val="nil"/>
              <w:right w:val="nil"/>
            </w:tcBorders>
            <w:shd w:val="clear" w:color="auto" w:fill="D9D9D9" w:themeFill="background1" w:themeFillShade="D9"/>
            <w:vAlign w:val="center"/>
          </w:tcPr>
          <w:p w:rsidR="00F27172" w:rsidRPr="00256E9C" w:rsidRDefault="00F27172" w:rsidP="001A25CD">
            <w:pPr>
              <w:jc w:val="center"/>
              <w:rPr>
                <w:rFonts w:asciiTheme="minorHAnsi" w:hAnsiTheme="minorHAnsi"/>
                <w:b/>
                <w:sz w:val="16"/>
                <w:szCs w:val="16"/>
              </w:rPr>
            </w:pPr>
            <w:r w:rsidRPr="00256E9C">
              <w:rPr>
                <w:rFonts w:asciiTheme="minorHAnsi" w:hAnsiTheme="minorHAnsi"/>
                <w:b/>
                <w:sz w:val="16"/>
                <w:szCs w:val="16"/>
              </w:rPr>
              <w:t>FF/VI</w:t>
            </w:r>
          </w:p>
          <w:p w:rsidR="00F27172" w:rsidRPr="00256E9C" w:rsidRDefault="00F27172" w:rsidP="001A25CD">
            <w:pPr>
              <w:jc w:val="center"/>
              <w:rPr>
                <w:rFonts w:asciiTheme="minorHAnsi" w:hAnsiTheme="minorHAnsi"/>
                <w:b/>
                <w:sz w:val="16"/>
                <w:szCs w:val="16"/>
              </w:rPr>
            </w:pPr>
            <w:r w:rsidRPr="00256E9C">
              <w:rPr>
                <w:rFonts w:asciiTheme="minorHAnsi" w:hAnsiTheme="minorHAnsi"/>
                <w:b/>
                <w:sz w:val="16"/>
                <w:szCs w:val="16"/>
              </w:rPr>
              <w:t>200/25</w:t>
            </w:r>
          </w:p>
        </w:tc>
        <w:tc>
          <w:tcPr>
            <w:tcW w:w="915" w:type="dxa"/>
            <w:tcBorders>
              <w:left w:val="nil"/>
              <w:right w:val="nil"/>
            </w:tcBorders>
            <w:shd w:val="clear" w:color="auto" w:fill="D9D9D9" w:themeFill="background1" w:themeFillShade="D9"/>
            <w:vAlign w:val="center"/>
          </w:tcPr>
          <w:p w:rsidR="00F27172" w:rsidRPr="00256E9C" w:rsidRDefault="00F27172" w:rsidP="001A25CD">
            <w:pPr>
              <w:jc w:val="center"/>
              <w:rPr>
                <w:rFonts w:asciiTheme="minorHAnsi" w:hAnsiTheme="minorHAnsi"/>
                <w:b/>
                <w:sz w:val="16"/>
                <w:szCs w:val="16"/>
              </w:rPr>
            </w:pPr>
            <w:r w:rsidRPr="00256E9C">
              <w:rPr>
                <w:rFonts w:asciiTheme="minorHAnsi" w:hAnsiTheme="minorHAnsi"/>
                <w:b/>
                <w:sz w:val="16"/>
                <w:szCs w:val="16"/>
              </w:rPr>
              <w:t>VI 25</w:t>
            </w:r>
          </w:p>
        </w:tc>
        <w:tc>
          <w:tcPr>
            <w:tcW w:w="916" w:type="dxa"/>
            <w:tcBorders>
              <w:left w:val="nil"/>
              <w:right w:val="nil"/>
            </w:tcBorders>
            <w:shd w:val="clear" w:color="auto" w:fill="D9D9D9" w:themeFill="background1" w:themeFillShade="D9"/>
            <w:vAlign w:val="center"/>
          </w:tcPr>
          <w:p w:rsidR="00F27172" w:rsidRPr="00256E9C" w:rsidRDefault="00F27172" w:rsidP="001A25CD">
            <w:pPr>
              <w:jc w:val="center"/>
              <w:rPr>
                <w:rFonts w:asciiTheme="minorHAnsi" w:hAnsiTheme="minorHAnsi"/>
                <w:b/>
                <w:sz w:val="16"/>
                <w:szCs w:val="16"/>
              </w:rPr>
            </w:pPr>
            <w:r w:rsidRPr="00256E9C">
              <w:rPr>
                <w:rFonts w:asciiTheme="minorHAnsi" w:hAnsiTheme="minorHAnsi"/>
                <w:b/>
                <w:sz w:val="16"/>
                <w:szCs w:val="16"/>
              </w:rPr>
              <w:t>FF100</w:t>
            </w:r>
          </w:p>
        </w:tc>
        <w:tc>
          <w:tcPr>
            <w:tcW w:w="915" w:type="dxa"/>
            <w:tcBorders>
              <w:left w:val="nil"/>
              <w:right w:val="nil"/>
            </w:tcBorders>
            <w:shd w:val="clear" w:color="auto" w:fill="D9D9D9" w:themeFill="background1" w:themeFillShade="D9"/>
            <w:vAlign w:val="center"/>
          </w:tcPr>
          <w:p w:rsidR="00F27172" w:rsidRPr="00256E9C" w:rsidRDefault="00F27172" w:rsidP="001A25CD">
            <w:pPr>
              <w:jc w:val="center"/>
              <w:rPr>
                <w:rFonts w:asciiTheme="minorHAnsi" w:hAnsiTheme="minorHAnsi"/>
                <w:b/>
                <w:sz w:val="16"/>
                <w:szCs w:val="16"/>
              </w:rPr>
            </w:pPr>
            <w:r w:rsidRPr="00256E9C">
              <w:rPr>
                <w:rFonts w:asciiTheme="minorHAnsi" w:hAnsiTheme="minorHAnsi"/>
                <w:b/>
                <w:sz w:val="16"/>
                <w:szCs w:val="16"/>
              </w:rPr>
              <w:t>FF200</w:t>
            </w:r>
          </w:p>
        </w:tc>
        <w:tc>
          <w:tcPr>
            <w:tcW w:w="916" w:type="dxa"/>
            <w:tcBorders>
              <w:left w:val="nil"/>
              <w:right w:val="nil"/>
            </w:tcBorders>
            <w:shd w:val="clear" w:color="auto" w:fill="D9D9D9" w:themeFill="background1" w:themeFillShade="D9"/>
            <w:vAlign w:val="center"/>
          </w:tcPr>
          <w:p w:rsidR="00F27172" w:rsidRPr="00256E9C" w:rsidRDefault="00F27172" w:rsidP="001A25CD">
            <w:pPr>
              <w:jc w:val="center"/>
              <w:rPr>
                <w:rFonts w:asciiTheme="minorHAnsi" w:hAnsiTheme="minorHAnsi"/>
                <w:b/>
                <w:sz w:val="16"/>
                <w:szCs w:val="16"/>
              </w:rPr>
            </w:pPr>
            <w:r w:rsidRPr="00256E9C">
              <w:rPr>
                <w:rFonts w:asciiTheme="minorHAnsi" w:hAnsiTheme="minorHAnsi"/>
                <w:b/>
                <w:sz w:val="16"/>
                <w:szCs w:val="16"/>
              </w:rPr>
              <w:t>PBO</w:t>
            </w:r>
          </w:p>
        </w:tc>
      </w:tr>
      <w:tr w:rsidR="00A67369" w:rsidRPr="00F27172" w:rsidTr="00A67369">
        <w:tc>
          <w:tcPr>
            <w:tcW w:w="2808" w:type="dxa"/>
            <w:tcBorders>
              <w:left w:val="nil"/>
            </w:tcBorders>
          </w:tcPr>
          <w:p w:rsidR="00A67369" w:rsidRDefault="00A67369" w:rsidP="00F27172">
            <w:pPr>
              <w:pStyle w:val="ListParagraph"/>
              <w:ind w:left="0"/>
              <w:rPr>
                <w:rFonts w:asciiTheme="minorHAnsi" w:hAnsiTheme="minorHAnsi"/>
                <w:sz w:val="16"/>
                <w:szCs w:val="16"/>
              </w:rPr>
            </w:pPr>
            <w:r>
              <w:rPr>
                <w:rFonts w:asciiTheme="minorHAnsi" w:hAnsiTheme="minorHAnsi"/>
                <w:sz w:val="16"/>
                <w:szCs w:val="16"/>
              </w:rPr>
              <w:t>N</w:t>
            </w:r>
          </w:p>
        </w:tc>
        <w:tc>
          <w:tcPr>
            <w:tcW w:w="915" w:type="dxa"/>
          </w:tcPr>
          <w:p w:rsidR="00A67369" w:rsidRDefault="00A67369" w:rsidP="00A67369">
            <w:pPr>
              <w:pStyle w:val="ListParagraph"/>
              <w:ind w:left="0"/>
              <w:jc w:val="center"/>
              <w:rPr>
                <w:rFonts w:asciiTheme="minorHAnsi" w:hAnsiTheme="minorHAnsi"/>
                <w:sz w:val="16"/>
                <w:szCs w:val="16"/>
              </w:rPr>
            </w:pPr>
            <w:r>
              <w:rPr>
                <w:rFonts w:asciiTheme="minorHAnsi" w:hAnsiTheme="minorHAnsi"/>
                <w:sz w:val="16"/>
                <w:szCs w:val="16"/>
              </w:rPr>
              <w:t>188</w:t>
            </w:r>
          </w:p>
        </w:tc>
        <w:tc>
          <w:tcPr>
            <w:tcW w:w="915" w:type="dxa"/>
            <w:tcBorders>
              <w:right w:val="nil"/>
            </w:tcBorders>
          </w:tcPr>
          <w:p w:rsidR="00A67369" w:rsidRDefault="00A67369" w:rsidP="00A67369">
            <w:pPr>
              <w:pStyle w:val="ListParagraph"/>
              <w:ind w:left="0"/>
              <w:jc w:val="center"/>
              <w:rPr>
                <w:rFonts w:asciiTheme="minorHAnsi" w:hAnsiTheme="minorHAnsi"/>
                <w:sz w:val="16"/>
                <w:szCs w:val="16"/>
              </w:rPr>
            </w:pPr>
            <w:r>
              <w:rPr>
                <w:rFonts w:asciiTheme="minorHAnsi" w:hAnsiTheme="minorHAnsi"/>
                <w:sz w:val="16"/>
                <w:szCs w:val="16"/>
              </w:rPr>
              <w:t>98</w:t>
            </w:r>
          </w:p>
        </w:tc>
        <w:tc>
          <w:tcPr>
            <w:tcW w:w="916" w:type="dxa"/>
            <w:tcBorders>
              <w:left w:val="nil"/>
              <w:right w:val="nil"/>
            </w:tcBorders>
          </w:tcPr>
          <w:p w:rsidR="00A67369" w:rsidRDefault="00A67369" w:rsidP="00A67369">
            <w:pPr>
              <w:pStyle w:val="ListParagraph"/>
              <w:ind w:left="0"/>
              <w:jc w:val="center"/>
              <w:rPr>
                <w:rFonts w:asciiTheme="minorHAnsi" w:hAnsiTheme="minorHAnsi"/>
                <w:sz w:val="16"/>
                <w:szCs w:val="16"/>
              </w:rPr>
            </w:pPr>
            <w:r>
              <w:rPr>
                <w:rFonts w:asciiTheme="minorHAnsi" w:hAnsiTheme="minorHAnsi"/>
                <w:sz w:val="16"/>
                <w:szCs w:val="16"/>
              </w:rPr>
              <w:t>98</w:t>
            </w:r>
          </w:p>
        </w:tc>
        <w:tc>
          <w:tcPr>
            <w:tcW w:w="915" w:type="dxa"/>
            <w:tcBorders>
              <w:left w:val="nil"/>
              <w:right w:val="nil"/>
            </w:tcBorders>
          </w:tcPr>
          <w:p w:rsidR="00A67369" w:rsidRDefault="00A67369" w:rsidP="00A67369">
            <w:pPr>
              <w:pStyle w:val="ListParagraph"/>
              <w:ind w:left="0"/>
              <w:jc w:val="center"/>
              <w:rPr>
                <w:rFonts w:asciiTheme="minorHAnsi" w:hAnsiTheme="minorHAnsi"/>
                <w:sz w:val="16"/>
                <w:szCs w:val="16"/>
              </w:rPr>
            </w:pPr>
            <w:r>
              <w:rPr>
                <w:rFonts w:asciiTheme="minorHAnsi" w:hAnsiTheme="minorHAnsi"/>
                <w:sz w:val="16"/>
                <w:szCs w:val="16"/>
              </w:rPr>
              <w:t>191</w:t>
            </w:r>
          </w:p>
        </w:tc>
        <w:tc>
          <w:tcPr>
            <w:tcW w:w="916" w:type="dxa"/>
            <w:tcBorders>
              <w:left w:val="nil"/>
              <w:right w:val="nil"/>
            </w:tcBorders>
          </w:tcPr>
          <w:p w:rsidR="00A67369" w:rsidRDefault="00A67369" w:rsidP="00A67369">
            <w:pPr>
              <w:pStyle w:val="ListParagraph"/>
              <w:ind w:left="0"/>
              <w:jc w:val="center"/>
              <w:rPr>
                <w:rFonts w:asciiTheme="minorHAnsi" w:hAnsiTheme="minorHAnsi"/>
                <w:sz w:val="16"/>
                <w:szCs w:val="16"/>
              </w:rPr>
            </w:pPr>
            <w:r>
              <w:rPr>
                <w:rFonts w:asciiTheme="minorHAnsi" w:hAnsiTheme="minorHAnsi"/>
                <w:sz w:val="16"/>
                <w:szCs w:val="16"/>
              </w:rPr>
              <w:t>184</w:t>
            </w:r>
          </w:p>
        </w:tc>
        <w:tc>
          <w:tcPr>
            <w:tcW w:w="915" w:type="dxa"/>
            <w:tcBorders>
              <w:left w:val="nil"/>
              <w:right w:val="nil"/>
            </w:tcBorders>
          </w:tcPr>
          <w:p w:rsidR="00A67369" w:rsidRDefault="00A67369" w:rsidP="00A67369">
            <w:pPr>
              <w:pStyle w:val="ListParagraph"/>
              <w:ind w:left="0"/>
              <w:jc w:val="center"/>
              <w:rPr>
                <w:rFonts w:asciiTheme="minorHAnsi" w:hAnsiTheme="minorHAnsi"/>
                <w:sz w:val="16"/>
                <w:szCs w:val="16"/>
              </w:rPr>
            </w:pPr>
            <w:r>
              <w:rPr>
                <w:rFonts w:asciiTheme="minorHAnsi" w:hAnsiTheme="minorHAnsi"/>
                <w:sz w:val="16"/>
                <w:szCs w:val="16"/>
              </w:rPr>
              <w:t>89</w:t>
            </w:r>
          </w:p>
        </w:tc>
        <w:tc>
          <w:tcPr>
            <w:tcW w:w="916" w:type="dxa"/>
            <w:tcBorders>
              <w:left w:val="nil"/>
              <w:right w:val="nil"/>
            </w:tcBorders>
          </w:tcPr>
          <w:p w:rsidR="00A67369" w:rsidRDefault="00A67369" w:rsidP="00A67369">
            <w:pPr>
              <w:pStyle w:val="ListParagraph"/>
              <w:ind w:left="0"/>
              <w:jc w:val="center"/>
              <w:rPr>
                <w:rFonts w:asciiTheme="minorHAnsi" w:hAnsiTheme="minorHAnsi"/>
                <w:sz w:val="16"/>
                <w:szCs w:val="16"/>
              </w:rPr>
            </w:pPr>
            <w:r>
              <w:rPr>
                <w:rFonts w:asciiTheme="minorHAnsi" w:hAnsiTheme="minorHAnsi"/>
                <w:sz w:val="16"/>
                <w:szCs w:val="16"/>
              </w:rPr>
              <w:t>168</w:t>
            </w:r>
          </w:p>
        </w:tc>
      </w:tr>
      <w:tr w:rsidR="00A67369" w:rsidRPr="00F27172" w:rsidTr="00A67369">
        <w:tc>
          <w:tcPr>
            <w:tcW w:w="2808" w:type="dxa"/>
            <w:tcBorders>
              <w:left w:val="nil"/>
            </w:tcBorders>
          </w:tcPr>
          <w:p w:rsidR="00F27172" w:rsidRDefault="00F27172" w:rsidP="00F27172">
            <w:pPr>
              <w:pStyle w:val="ListParagraph"/>
              <w:ind w:left="0"/>
              <w:rPr>
                <w:rFonts w:asciiTheme="minorHAnsi" w:hAnsiTheme="minorHAnsi"/>
                <w:sz w:val="16"/>
                <w:szCs w:val="16"/>
              </w:rPr>
            </w:pPr>
            <w:r>
              <w:rPr>
                <w:rFonts w:asciiTheme="minorHAnsi" w:hAnsiTheme="minorHAnsi"/>
                <w:sz w:val="16"/>
                <w:szCs w:val="16"/>
              </w:rPr>
              <w:t>Ventricular arrhythmias, all</w:t>
            </w:r>
            <w:r w:rsidR="00A67369">
              <w:rPr>
                <w:rFonts w:asciiTheme="minorHAnsi" w:hAnsiTheme="minorHAnsi"/>
                <w:sz w:val="16"/>
                <w:szCs w:val="16"/>
              </w:rPr>
              <w:t xml:space="preserve">   </w:t>
            </w:r>
            <w:proofErr w:type="gramStart"/>
            <w:r w:rsidR="00A67369">
              <w:rPr>
                <w:rFonts w:asciiTheme="minorHAnsi" w:hAnsiTheme="minorHAnsi"/>
                <w:sz w:val="16"/>
                <w:szCs w:val="16"/>
              </w:rPr>
              <w:t>n(</w:t>
            </w:r>
            <w:proofErr w:type="gramEnd"/>
            <w:r w:rsidR="00A67369">
              <w:rPr>
                <w:rFonts w:asciiTheme="minorHAnsi" w:hAnsiTheme="minorHAnsi"/>
                <w:sz w:val="16"/>
                <w:szCs w:val="16"/>
              </w:rPr>
              <w:t>%)</w:t>
            </w:r>
          </w:p>
          <w:p w:rsidR="00F27172" w:rsidRDefault="00F27172" w:rsidP="00F27172">
            <w:pPr>
              <w:pStyle w:val="ListParagraph"/>
              <w:numPr>
                <w:ilvl w:val="0"/>
                <w:numId w:val="10"/>
              </w:numPr>
              <w:rPr>
                <w:rFonts w:asciiTheme="minorHAnsi" w:hAnsiTheme="minorHAnsi"/>
                <w:sz w:val="16"/>
                <w:szCs w:val="16"/>
              </w:rPr>
            </w:pPr>
            <w:r>
              <w:rPr>
                <w:rFonts w:asciiTheme="minorHAnsi" w:hAnsiTheme="minorHAnsi"/>
                <w:sz w:val="16"/>
                <w:szCs w:val="16"/>
              </w:rPr>
              <w:t>Sustained VT</w:t>
            </w:r>
          </w:p>
          <w:p w:rsidR="00F27172" w:rsidRPr="00F27172" w:rsidRDefault="00F27172" w:rsidP="00F27172">
            <w:pPr>
              <w:pStyle w:val="ListParagraph"/>
              <w:numPr>
                <w:ilvl w:val="0"/>
                <w:numId w:val="10"/>
              </w:numPr>
              <w:rPr>
                <w:rFonts w:asciiTheme="minorHAnsi" w:hAnsiTheme="minorHAnsi"/>
                <w:sz w:val="16"/>
                <w:szCs w:val="16"/>
              </w:rPr>
            </w:pPr>
            <w:r>
              <w:rPr>
                <w:rFonts w:asciiTheme="minorHAnsi" w:hAnsiTheme="minorHAnsi"/>
                <w:sz w:val="16"/>
                <w:szCs w:val="16"/>
              </w:rPr>
              <w:t>Non-sustained VT</w:t>
            </w:r>
          </w:p>
        </w:tc>
        <w:tc>
          <w:tcPr>
            <w:tcW w:w="915" w:type="dxa"/>
          </w:tcPr>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12 (6)</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0</w:t>
            </w:r>
          </w:p>
          <w:p w:rsidR="00F27172" w:rsidRP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12 (6)</w:t>
            </w:r>
          </w:p>
        </w:tc>
        <w:tc>
          <w:tcPr>
            <w:tcW w:w="915" w:type="dxa"/>
            <w:tcBorders>
              <w:right w:val="nil"/>
            </w:tcBorders>
          </w:tcPr>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7 (7)</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0</w:t>
            </w:r>
          </w:p>
          <w:p w:rsidR="00F27172" w:rsidRP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6 (6)</w:t>
            </w:r>
          </w:p>
        </w:tc>
        <w:tc>
          <w:tcPr>
            <w:tcW w:w="916" w:type="dxa"/>
            <w:tcBorders>
              <w:left w:val="nil"/>
              <w:right w:val="nil"/>
            </w:tcBorders>
          </w:tcPr>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8 (8)</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0</w:t>
            </w:r>
          </w:p>
          <w:p w:rsidR="00F27172" w:rsidRP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7 (7)</w:t>
            </w:r>
          </w:p>
        </w:tc>
        <w:tc>
          <w:tcPr>
            <w:tcW w:w="915" w:type="dxa"/>
            <w:tcBorders>
              <w:left w:val="nil"/>
              <w:right w:val="nil"/>
            </w:tcBorders>
          </w:tcPr>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15 (8)</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0</w:t>
            </w:r>
          </w:p>
          <w:p w:rsidR="00F27172" w:rsidRP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15 (8)</w:t>
            </w:r>
          </w:p>
        </w:tc>
        <w:tc>
          <w:tcPr>
            <w:tcW w:w="916" w:type="dxa"/>
            <w:tcBorders>
              <w:left w:val="nil"/>
              <w:right w:val="nil"/>
            </w:tcBorders>
          </w:tcPr>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13 (7)</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0</w:t>
            </w:r>
          </w:p>
          <w:p w:rsidR="00F27172" w:rsidRP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13 (7)</w:t>
            </w:r>
          </w:p>
        </w:tc>
        <w:tc>
          <w:tcPr>
            <w:tcW w:w="915" w:type="dxa"/>
            <w:tcBorders>
              <w:left w:val="nil"/>
              <w:right w:val="nil"/>
            </w:tcBorders>
          </w:tcPr>
          <w:p w:rsidR="00F27172" w:rsidRDefault="00A67369" w:rsidP="00A67369">
            <w:pPr>
              <w:pStyle w:val="ListParagraph"/>
              <w:ind w:left="0"/>
              <w:jc w:val="center"/>
              <w:rPr>
                <w:rFonts w:asciiTheme="minorHAnsi" w:hAnsiTheme="minorHAnsi"/>
                <w:sz w:val="16"/>
                <w:szCs w:val="16"/>
              </w:rPr>
            </w:pPr>
            <w:r>
              <w:rPr>
                <w:rFonts w:asciiTheme="minorHAnsi" w:hAnsiTheme="minorHAnsi"/>
                <w:sz w:val="16"/>
                <w:szCs w:val="16"/>
              </w:rPr>
              <w:t>3 (3)</w:t>
            </w:r>
          </w:p>
          <w:p w:rsidR="00A67369" w:rsidRDefault="00A67369" w:rsidP="00A67369">
            <w:pPr>
              <w:pStyle w:val="ListParagraph"/>
              <w:ind w:left="0"/>
              <w:jc w:val="center"/>
              <w:rPr>
                <w:rFonts w:asciiTheme="minorHAnsi" w:hAnsiTheme="minorHAnsi"/>
                <w:sz w:val="16"/>
                <w:szCs w:val="16"/>
              </w:rPr>
            </w:pPr>
            <w:r>
              <w:rPr>
                <w:rFonts w:asciiTheme="minorHAnsi" w:hAnsiTheme="minorHAnsi"/>
                <w:sz w:val="16"/>
                <w:szCs w:val="16"/>
              </w:rPr>
              <w:t>1 (1)</w:t>
            </w:r>
          </w:p>
          <w:p w:rsidR="00A67369" w:rsidRPr="00F27172" w:rsidRDefault="00A67369" w:rsidP="00A67369">
            <w:pPr>
              <w:pStyle w:val="ListParagraph"/>
              <w:ind w:left="0"/>
              <w:jc w:val="center"/>
              <w:rPr>
                <w:rFonts w:asciiTheme="minorHAnsi" w:hAnsiTheme="minorHAnsi"/>
                <w:sz w:val="16"/>
                <w:szCs w:val="16"/>
              </w:rPr>
            </w:pPr>
            <w:r>
              <w:rPr>
                <w:rFonts w:asciiTheme="minorHAnsi" w:hAnsiTheme="minorHAnsi"/>
                <w:sz w:val="16"/>
                <w:szCs w:val="16"/>
              </w:rPr>
              <w:t>1 (1)</w:t>
            </w:r>
          </w:p>
        </w:tc>
        <w:tc>
          <w:tcPr>
            <w:tcW w:w="916" w:type="dxa"/>
            <w:tcBorders>
              <w:left w:val="nil"/>
              <w:right w:val="nil"/>
            </w:tcBorders>
          </w:tcPr>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10 (6)</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0</w:t>
            </w:r>
          </w:p>
          <w:p w:rsidR="00F27172" w:rsidRP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9 (5)</w:t>
            </w:r>
          </w:p>
        </w:tc>
      </w:tr>
      <w:tr w:rsidR="00A67369" w:rsidRPr="00F27172" w:rsidTr="00A67369">
        <w:tc>
          <w:tcPr>
            <w:tcW w:w="2808" w:type="dxa"/>
            <w:tcBorders>
              <w:left w:val="nil"/>
            </w:tcBorders>
          </w:tcPr>
          <w:p w:rsidR="00F27172" w:rsidRDefault="00F27172" w:rsidP="00F27172">
            <w:pPr>
              <w:pStyle w:val="ListParagraph"/>
              <w:ind w:left="0"/>
              <w:rPr>
                <w:rFonts w:asciiTheme="minorHAnsi" w:hAnsiTheme="minorHAnsi"/>
                <w:sz w:val="16"/>
                <w:szCs w:val="16"/>
              </w:rPr>
            </w:pPr>
            <w:r>
              <w:rPr>
                <w:rFonts w:asciiTheme="minorHAnsi" w:hAnsiTheme="minorHAnsi"/>
                <w:sz w:val="16"/>
                <w:szCs w:val="16"/>
              </w:rPr>
              <w:t>Supraventricular arrhythmias, all</w:t>
            </w:r>
            <w:r w:rsidR="00A67369">
              <w:rPr>
                <w:rFonts w:asciiTheme="minorHAnsi" w:hAnsiTheme="minorHAnsi"/>
                <w:sz w:val="16"/>
                <w:szCs w:val="16"/>
              </w:rPr>
              <w:t xml:space="preserve"> </w:t>
            </w:r>
            <w:proofErr w:type="gramStart"/>
            <w:r w:rsidR="00A67369">
              <w:rPr>
                <w:rFonts w:asciiTheme="minorHAnsi" w:hAnsiTheme="minorHAnsi"/>
                <w:sz w:val="16"/>
                <w:szCs w:val="16"/>
              </w:rPr>
              <w:t>n(</w:t>
            </w:r>
            <w:proofErr w:type="gramEnd"/>
            <w:r w:rsidR="00A67369">
              <w:rPr>
                <w:rFonts w:asciiTheme="minorHAnsi" w:hAnsiTheme="minorHAnsi"/>
                <w:sz w:val="16"/>
                <w:szCs w:val="16"/>
              </w:rPr>
              <w:t>%)</w:t>
            </w:r>
          </w:p>
          <w:p w:rsidR="00F27172" w:rsidRDefault="00F27172" w:rsidP="00F27172">
            <w:pPr>
              <w:pStyle w:val="ListParagraph"/>
              <w:numPr>
                <w:ilvl w:val="0"/>
                <w:numId w:val="11"/>
              </w:numPr>
              <w:rPr>
                <w:rFonts w:asciiTheme="minorHAnsi" w:hAnsiTheme="minorHAnsi"/>
                <w:sz w:val="16"/>
                <w:szCs w:val="16"/>
              </w:rPr>
            </w:pPr>
            <w:r>
              <w:rPr>
                <w:rFonts w:asciiTheme="minorHAnsi" w:hAnsiTheme="minorHAnsi"/>
                <w:sz w:val="16"/>
                <w:szCs w:val="16"/>
              </w:rPr>
              <w:t>Sustained SVT</w:t>
            </w:r>
          </w:p>
          <w:p w:rsidR="00F27172" w:rsidRDefault="00F27172" w:rsidP="00F27172">
            <w:pPr>
              <w:pStyle w:val="ListParagraph"/>
              <w:numPr>
                <w:ilvl w:val="0"/>
                <w:numId w:val="11"/>
              </w:numPr>
              <w:rPr>
                <w:rFonts w:asciiTheme="minorHAnsi" w:hAnsiTheme="minorHAnsi"/>
                <w:sz w:val="16"/>
                <w:szCs w:val="16"/>
              </w:rPr>
            </w:pPr>
            <w:r>
              <w:rPr>
                <w:rFonts w:asciiTheme="minorHAnsi" w:hAnsiTheme="minorHAnsi"/>
                <w:sz w:val="16"/>
                <w:szCs w:val="16"/>
              </w:rPr>
              <w:t>Atrial fibrillation</w:t>
            </w:r>
          </w:p>
          <w:p w:rsidR="00F27172" w:rsidRPr="00F27172" w:rsidRDefault="00F27172" w:rsidP="00F27172">
            <w:pPr>
              <w:pStyle w:val="ListParagraph"/>
              <w:numPr>
                <w:ilvl w:val="0"/>
                <w:numId w:val="11"/>
              </w:numPr>
              <w:rPr>
                <w:rFonts w:asciiTheme="minorHAnsi" w:hAnsiTheme="minorHAnsi"/>
                <w:sz w:val="16"/>
                <w:szCs w:val="16"/>
              </w:rPr>
            </w:pPr>
            <w:r>
              <w:rPr>
                <w:rFonts w:asciiTheme="minorHAnsi" w:hAnsiTheme="minorHAnsi"/>
                <w:sz w:val="16"/>
                <w:szCs w:val="16"/>
              </w:rPr>
              <w:t>Atrial flutter</w:t>
            </w:r>
          </w:p>
        </w:tc>
        <w:tc>
          <w:tcPr>
            <w:tcW w:w="915" w:type="dxa"/>
          </w:tcPr>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6 (3)</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3 (2)</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3 (2)</w:t>
            </w:r>
          </w:p>
          <w:p w:rsidR="00F27172" w:rsidRP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0</w:t>
            </w:r>
          </w:p>
        </w:tc>
        <w:tc>
          <w:tcPr>
            <w:tcW w:w="915" w:type="dxa"/>
            <w:tcBorders>
              <w:right w:val="nil"/>
            </w:tcBorders>
          </w:tcPr>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 (1)</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0</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0</w:t>
            </w:r>
          </w:p>
          <w:p w:rsidR="00F27172" w:rsidRP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 (1)</w:t>
            </w:r>
          </w:p>
        </w:tc>
        <w:tc>
          <w:tcPr>
            <w:tcW w:w="916" w:type="dxa"/>
            <w:tcBorders>
              <w:left w:val="nil"/>
              <w:right w:val="nil"/>
            </w:tcBorders>
          </w:tcPr>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2 (2)</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 (1)</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 (1)</w:t>
            </w:r>
          </w:p>
          <w:p w:rsidR="00F27172" w:rsidRP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0</w:t>
            </w:r>
          </w:p>
        </w:tc>
        <w:tc>
          <w:tcPr>
            <w:tcW w:w="915" w:type="dxa"/>
            <w:tcBorders>
              <w:left w:val="nil"/>
              <w:right w:val="nil"/>
            </w:tcBorders>
          </w:tcPr>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5 (3)</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 (&lt;1)</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4 (2)</w:t>
            </w:r>
          </w:p>
          <w:p w:rsidR="00F27172" w:rsidRP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0</w:t>
            </w:r>
          </w:p>
        </w:tc>
        <w:tc>
          <w:tcPr>
            <w:tcW w:w="916" w:type="dxa"/>
            <w:tcBorders>
              <w:left w:val="nil"/>
              <w:right w:val="nil"/>
            </w:tcBorders>
          </w:tcPr>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5 (3)</w:t>
            </w:r>
          </w:p>
          <w:p w:rsidR="00A67369" w:rsidRDefault="00A67369" w:rsidP="00A67369">
            <w:pPr>
              <w:pStyle w:val="ListParagraph"/>
              <w:ind w:left="0"/>
              <w:jc w:val="center"/>
              <w:rPr>
                <w:rFonts w:asciiTheme="minorHAnsi" w:hAnsiTheme="minorHAnsi"/>
                <w:sz w:val="16"/>
                <w:szCs w:val="16"/>
              </w:rPr>
            </w:pPr>
            <w:r>
              <w:rPr>
                <w:rFonts w:asciiTheme="minorHAnsi" w:hAnsiTheme="minorHAnsi"/>
                <w:sz w:val="16"/>
                <w:szCs w:val="16"/>
              </w:rPr>
              <w:t>3 (2)</w:t>
            </w:r>
          </w:p>
          <w:p w:rsidR="00A67369" w:rsidRDefault="00A67369" w:rsidP="00A67369">
            <w:pPr>
              <w:pStyle w:val="ListParagraph"/>
              <w:ind w:left="0"/>
              <w:jc w:val="center"/>
              <w:rPr>
                <w:rFonts w:asciiTheme="minorHAnsi" w:hAnsiTheme="minorHAnsi"/>
                <w:sz w:val="16"/>
                <w:szCs w:val="16"/>
              </w:rPr>
            </w:pPr>
            <w:r>
              <w:rPr>
                <w:rFonts w:asciiTheme="minorHAnsi" w:hAnsiTheme="minorHAnsi"/>
                <w:sz w:val="16"/>
                <w:szCs w:val="16"/>
              </w:rPr>
              <w:t>4 (2)</w:t>
            </w:r>
          </w:p>
          <w:p w:rsidR="00A67369" w:rsidRPr="00F27172" w:rsidRDefault="00A67369" w:rsidP="00A67369">
            <w:pPr>
              <w:pStyle w:val="ListParagraph"/>
              <w:ind w:left="0"/>
              <w:jc w:val="center"/>
              <w:rPr>
                <w:rFonts w:asciiTheme="minorHAnsi" w:hAnsiTheme="minorHAnsi"/>
                <w:sz w:val="16"/>
                <w:szCs w:val="16"/>
              </w:rPr>
            </w:pPr>
            <w:r>
              <w:rPr>
                <w:rFonts w:asciiTheme="minorHAnsi" w:hAnsiTheme="minorHAnsi"/>
                <w:sz w:val="16"/>
                <w:szCs w:val="16"/>
              </w:rPr>
              <w:t>1 (&lt;1)</w:t>
            </w:r>
          </w:p>
        </w:tc>
        <w:tc>
          <w:tcPr>
            <w:tcW w:w="915" w:type="dxa"/>
            <w:tcBorders>
              <w:left w:val="nil"/>
              <w:right w:val="nil"/>
            </w:tcBorders>
          </w:tcPr>
          <w:p w:rsidR="00F27172" w:rsidRDefault="00A67369" w:rsidP="00A67369">
            <w:pPr>
              <w:pStyle w:val="ListParagraph"/>
              <w:ind w:left="0"/>
              <w:jc w:val="center"/>
              <w:rPr>
                <w:rFonts w:asciiTheme="minorHAnsi" w:hAnsiTheme="minorHAnsi"/>
                <w:sz w:val="16"/>
                <w:szCs w:val="16"/>
              </w:rPr>
            </w:pPr>
            <w:r>
              <w:rPr>
                <w:rFonts w:asciiTheme="minorHAnsi" w:hAnsiTheme="minorHAnsi"/>
                <w:sz w:val="16"/>
                <w:szCs w:val="16"/>
              </w:rPr>
              <w:t>1 (1)</w:t>
            </w:r>
          </w:p>
          <w:p w:rsidR="00A67369" w:rsidRDefault="00A67369" w:rsidP="00A67369">
            <w:pPr>
              <w:pStyle w:val="ListParagraph"/>
              <w:ind w:left="0"/>
              <w:jc w:val="center"/>
              <w:rPr>
                <w:rFonts w:asciiTheme="minorHAnsi" w:hAnsiTheme="minorHAnsi"/>
                <w:sz w:val="16"/>
                <w:szCs w:val="16"/>
              </w:rPr>
            </w:pPr>
            <w:r>
              <w:rPr>
                <w:rFonts w:asciiTheme="minorHAnsi" w:hAnsiTheme="minorHAnsi"/>
                <w:sz w:val="16"/>
                <w:szCs w:val="16"/>
              </w:rPr>
              <w:t>1 (1)</w:t>
            </w:r>
          </w:p>
          <w:p w:rsidR="00A67369" w:rsidRDefault="00A67369" w:rsidP="00A67369">
            <w:pPr>
              <w:pStyle w:val="ListParagraph"/>
              <w:ind w:left="0"/>
              <w:jc w:val="center"/>
              <w:rPr>
                <w:rFonts w:asciiTheme="minorHAnsi" w:hAnsiTheme="minorHAnsi"/>
                <w:sz w:val="16"/>
                <w:szCs w:val="16"/>
              </w:rPr>
            </w:pPr>
            <w:r>
              <w:rPr>
                <w:rFonts w:asciiTheme="minorHAnsi" w:hAnsiTheme="minorHAnsi"/>
                <w:sz w:val="16"/>
                <w:szCs w:val="16"/>
              </w:rPr>
              <w:t>0</w:t>
            </w:r>
          </w:p>
          <w:p w:rsidR="00A67369" w:rsidRPr="00F27172" w:rsidRDefault="00A67369" w:rsidP="00A67369">
            <w:pPr>
              <w:pStyle w:val="ListParagraph"/>
              <w:ind w:left="0"/>
              <w:jc w:val="center"/>
              <w:rPr>
                <w:rFonts w:asciiTheme="minorHAnsi" w:hAnsiTheme="minorHAnsi"/>
                <w:sz w:val="16"/>
                <w:szCs w:val="16"/>
              </w:rPr>
            </w:pPr>
            <w:r>
              <w:rPr>
                <w:rFonts w:asciiTheme="minorHAnsi" w:hAnsiTheme="minorHAnsi"/>
                <w:sz w:val="16"/>
                <w:szCs w:val="16"/>
              </w:rPr>
              <w:t>0</w:t>
            </w:r>
          </w:p>
        </w:tc>
        <w:tc>
          <w:tcPr>
            <w:tcW w:w="916" w:type="dxa"/>
            <w:tcBorders>
              <w:left w:val="nil"/>
              <w:right w:val="nil"/>
            </w:tcBorders>
          </w:tcPr>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 (&lt;1)</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0</w:t>
            </w:r>
          </w:p>
          <w:p w:rsid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1 (&lt;1)</w:t>
            </w:r>
          </w:p>
          <w:p w:rsidR="00F27172" w:rsidRPr="00F27172" w:rsidRDefault="00F27172" w:rsidP="00A67369">
            <w:pPr>
              <w:pStyle w:val="ListParagraph"/>
              <w:ind w:left="0"/>
              <w:jc w:val="center"/>
              <w:rPr>
                <w:rFonts w:asciiTheme="minorHAnsi" w:hAnsiTheme="minorHAnsi"/>
                <w:sz w:val="16"/>
                <w:szCs w:val="16"/>
              </w:rPr>
            </w:pPr>
            <w:r>
              <w:rPr>
                <w:rFonts w:asciiTheme="minorHAnsi" w:hAnsiTheme="minorHAnsi"/>
                <w:sz w:val="16"/>
                <w:szCs w:val="16"/>
              </w:rPr>
              <w:t>0</w:t>
            </w:r>
          </w:p>
        </w:tc>
      </w:tr>
    </w:tbl>
    <w:p w:rsidR="00A67369" w:rsidRPr="00256E9C" w:rsidRDefault="00A67369" w:rsidP="00A67369">
      <w:pPr>
        <w:rPr>
          <w:rFonts w:asciiTheme="minorHAnsi" w:hAnsiTheme="minorHAnsi"/>
          <w:sz w:val="16"/>
          <w:szCs w:val="16"/>
        </w:rPr>
      </w:pPr>
      <w:r>
        <w:rPr>
          <w:rFonts w:asciiTheme="minorHAnsi" w:hAnsiTheme="minorHAnsi"/>
          <w:sz w:val="16"/>
          <w:szCs w:val="16"/>
        </w:rPr>
        <w:t xml:space="preserve">         Data obtained from FDA review</w:t>
      </w:r>
    </w:p>
    <w:p w:rsidR="00F27172" w:rsidRDefault="00F27172" w:rsidP="00F27172">
      <w:pPr>
        <w:pStyle w:val="ListParagraph"/>
        <w:ind w:left="360"/>
        <w:rPr>
          <w:sz w:val="20"/>
          <w:szCs w:val="20"/>
        </w:rPr>
      </w:pPr>
    </w:p>
    <w:p w:rsidR="006701E2" w:rsidRDefault="00E7620D" w:rsidP="00F27172">
      <w:pPr>
        <w:pStyle w:val="ListParagraph"/>
        <w:ind w:left="360"/>
        <w:rPr>
          <w:sz w:val="20"/>
          <w:szCs w:val="20"/>
        </w:rPr>
      </w:pPr>
      <w:r>
        <w:rPr>
          <w:sz w:val="20"/>
          <w:szCs w:val="20"/>
        </w:rPr>
        <w:t>Routine cardiovascular AE monitoring in the 6-month trials found similar rates for the marketed dose of FF/VI (100/25) and placebo.  In the 1-year trials, patients received FF/VI or VI.  Rates for CV AEs were similar.</w:t>
      </w:r>
      <w:r w:rsidR="00A60ED0">
        <w:rPr>
          <w:sz w:val="20"/>
          <w:szCs w:val="20"/>
        </w:rPr>
        <w:t xml:space="preserve">  Changes in blood pressure and pulse rate from baseline were small and changes were similar in all treatment groups in the 6-month and 1-year trials.</w:t>
      </w:r>
    </w:p>
    <w:p w:rsidR="00E6651D" w:rsidRPr="00E6651D" w:rsidRDefault="00E6651D" w:rsidP="00E6651D">
      <w:pPr>
        <w:pStyle w:val="ListParagraph"/>
        <w:rPr>
          <w:sz w:val="20"/>
          <w:szCs w:val="20"/>
        </w:rPr>
      </w:pPr>
    </w:p>
    <w:p w:rsidR="009524D7" w:rsidRPr="00AB3008" w:rsidRDefault="00E6651D" w:rsidP="00056D9C">
      <w:pPr>
        <w:pStyle w:val="ListParagraph"/>
        <w:numPr>
          <w:ilvl w:val="0"/>
          <w:numId w:val="1"/>
        </w:numPr>
        <w:rPr>
          <w:sz w:val="20"/>
          <w:szCs w:val="20"/>
        </w:rPr>
      </w:pPr>
      <w:r w:rsidRPr="00AB3008">
        <w:rPr>
          <w:sz w:val="20"/>
          <w:szCs w:val="20"/>
        </w:rPr>
        <w:t>HPA-axis:</w:t>
      </w:r>
      <w:r w:rsidR="00AB3008">
        <w:rPr>
          <w:sz w:val="20"/>
          <w:szCs w:val="20"/>
        </w:rPr>
        <w:t xml:space="preserve"> </w:t>
      </w:r>
      <w:r w:rsidR="00D45E76" w:rsidRPr="00AB3008">
        <w:rPr>
          <w:sz w:val="20"/>
          <w:szCs w:val="20"/>
        </w:rPr>
        <w:t xml:space="preserve">In both </w:t>
      </w:r>
      <w:r w:rsidR="00190C75" w:rsidRPr="00AB3008">
        <w:rPr>
          <w:sz w:val="20"/>
          <w:szCs w:val="20"/>
        </w:rPr>
        <w:t>6-month studies</w:t>
      </w:r>
      <w:r w:rsidR="00056D9C" w:rsidRPr="00AB3008">
        <w:rPr>
          <w:sz w:val="20"/>
          <w:szCs w:val="20"/>
        </w:rPr>
        <w:t xml:space="preserve">, </w:t>
      </w:r>
      <w:r w:rsidR="00190C75" w:rsidRPr="00AB3008">
        <w:rPr>
          <w:sz w:val="20"/>
          <w:szCs w:val="20"/>
        </w:rPr>
        <w:t xml:space="preserve">24 h </w:t>
      </w:r>
      <w:r w:rsidR="00056D9C" w:rsidRPr="00AB3008">
        <w:rPr>
          <w:sz w:val="20"/>
          <w:szCs w:val="20"/>
        </w:rPr>
        <w:t>urinary cortisol (UC)</w:t>
      </w:r>
      <w:r w:rsidR="00190C75" w:rsidRPr="00AB3008">
        <w:rPr>
          <w:sz w:val="20"/>
          <w:szCs w:val="20"/>
        </w:rPr>
        <w:t xml:space="preserve"> excretion </w:t>
      </w:r>
      <w:r w:rsidR="00056D9C" w:rsidRPr="00AB3008">
        <w:rPr>
          <w:sz w:val="20"/>
          <w:szCs w:val="20"/>
        </w:rPr>
        <w:t xml:space="preserve">was measured at baseline and at the end of the study in a subset of patients (n=700).  </w:t>
      </w:r>
      <w:r w:rsidR="00D45E76" w:rsidRPr="00AB3008">
        <w:rPr>
          <w:sz w:val="20"/>
          <w:szCs w:val="20"/>
        </w:rPr>
        <w:t>The</w:t>
      </w:r>
      <w:r w:rsidR="00056D9C" w:rsidRPr="00AB3008">
        <w:rPr>
          <w:sz w:val="20"/>
          <w:szCs w:val="20"/>
        </w:rPr>
        <w:t xml:space="preserve"> UC excretion ratio</w:t>
      </w:r>
      <w:r w:rsidR="00D45E76" w:rsidRPr="00AB3008">
        <w:rPr>
          <w:sz w:val="20"/>
          <w:szCs w:val="20"/>
        </w:rPr>
        <w:t xml:space="preserve"> for </w:t>
      </w:r>
      <w:r w:rsidR="00056D9C" w:rsidRPr="00AB3008">
        <w:rPr>
          <w:sz w:val="20"/>
          <w:szCs w:val="20"/>
        </w:rPr>
        <w:t>each of the groups was close to</w:t>
      </w:r>
      <w:r w:rsidR="00D45E76" w:rsidRPr="00AB3008">
        <w:rPr>
          <w:sz w:val="20"/>
          <w:szCs w:val="20"/>
        </w:rPr>
        <w:t xml:space="preserve"> 1.0</w:t>
      </w:r>
      <w:r w:rsidR="00056D9C" w:rsidRPr="00AB3008">
        <w:rPr>
          <w:sz w:val="20"/>
          <w:szCs w:val="20"/>
        </w:rPr>
        <w:t xml:space="preserve"> and there were no significant differences between any of the active arms versus placebo.</w:t>
      </w:r>
    </w:p>
    <w:p w:rsidR="00056D9C" w:rsidRDefault="00056D9C" w:rsidP="00056D9C">
      <w:pPr>
        <w:pStyle w:val="NoSpacing"/>
        <w:ind w:left="360"/>
        <w:rPr>
          <w:sz w:val="20"/>
          <w:szCs w:val="20"/>
        </w:rPr>
      </w:pPr>
    </w:p>
    <w:p w:rsidR="00056D9C" w:rsidRDefault="00056D9C" w:rsidP="00056D9C">
      <w:pPr>
        <w:pStyle w:val="NoSpacing"/>
        <w:ind w:left="360"/>
        <w:rPr>
          <w:sz w:val="20"/>
          <w:szCs w:val="20"/>
        </w:rPr>
      </w:pPr>
      <w:r>
        <w:rPr>
          <w:sz w:val="20"/>
          <w:szCs w:val="20"/>
        </w:rPr>
        <w:t>In the supporting study 110946</w:t>
      </w:r>
      <w:r w:rsidR="000E3963">
        <w:rPr>
          <w:sz w:val="20"/>
          <w:szCs w:val="20"/>
        </w:rPr>
        <w:t>, 24</w:t>
      </w:r>
      <w:r>
        <w:rPr>
          <w:sz w:val="20"/>
          <w:szCs w:val="20"/>
        </w:rPr>
        <w:t xml:space="preserve">-hour serum </w:t>
      </w:r>
      <w:r w:rsidR="000E3963">
        <w:rPr>
          <w:sz w:val="20"/>
          <w:szCs w:val="20"/>
        </w:rPr>
        <w:t xml:space="preserve">cortisol (considered to </w:t>
      </w:r>
      <w:r w:rsidR="00AB3008">
        <w:rPr>
          <w:sz w:val="20"/>
          <w:szCs w:val="20"/>
        </w:rPr>
        <w:t xml:space="preserve">be a </w:t>
      </w:r>
      <w:r w:rsidR="000E3963">
        <w:rPr>
          <w:sz w:val="20"/>
          <w:szCs w:val="20"/>
        </w:rPr>
        <w:t xml:space="preserve">more reliable </w:t>
      </w:r>
      <w:r w:rsidR="00AB3008">
        <w:rPr>
          <w:sz w:val="20"/>
          <w:szCs w:val="20"/>
        </w:rPr>
        <w:t xml:space="preserve">measure </w:t>
      </w:r>
      <w:r w:rsidR="000E3963">
        <w:rPr>
          <w:sz w:val="20"/>
          <w:szCs w:val="20"/>
        </w:rPr>
        <w:t xml:space="preserve">than 24-h UC excretion) was </w:t>
      </w:r>
      <w:r w:rsidR="00AB3008">
        <w:rPr>
          <w:sz w:val="20"/>
          <w:szCs w:val="20"/>
        </w:rPr>
        <w:t>evaluated in</w:t>
      </w:r>
      <w:r w:rsidR="000E3963">
        <w:rPr>
          <w:sz w:val="20"/>
          <w:szCs w:val="20"/>
        </w:rPr>
        <w:t xml:space="preserve"> 54 patients with COPD.</w:t>
      </w:r>
      <w:r w:rsidR="00D56EC4">
        <w:rPr>
          <w:sz w:val="20"/>
          <w:szCs w:val="20"/>
        </w:rPr>
        <w:t xml:space="preserve">  This study showed no effect on serum cortisol after 28 days of treatment with FF/VI 50/25, 100/25, and 200/25.</w:t>
      </w:r>
    </w:p>
    <w:p w:rsidR="00AB3008" w:rsidRDefault="00AB3008" w:rsidP="00056D9C">
      <w:pPr>
        <w:pStyle w:val="NoSpacing"/>
        <w:ind w:left="360"/>
        <w:rPr>
          <w:sz w:val="20"/>
          <w:szCs w:val="20"/>
        </w:rPr>
      </w:pPr>
    </w:p>
    <w:p w:rsidR="00D45E76" w:rsidRPr="008F5F0D" w:rsidRDefault="00AB3008" w:rsidP="008F5F0D">
      <w:pPr>
        <w:pStyle w:val="NoSpacing"/>
        <w:ind w:left="360"/>
        <w:rPr>
          <w:rFonts w:asciiTheme="minorHAnsi" w:hAnsiTheme="minorHAnsi"/>
          <w:color w:val="365F91" w:themeColor="accent1" w:themeShade="BF"/>
          <w:sz w:val="20"/>
          <w:szCs w:val="20"/>
        </w:rPr>
      </w:pPr>
      <w:r>
        <w:rPr>
          <w:sz w:val="20"/>
          <w:szCs w:val="20"/>
        </w:rPr>
        <w:t>A formal HPA-axis study conducted in patients asthma</w:t>
      </w:r>
      <w:r w:rsidR="00251954">
        <w:rPr>
          <w:sz w:val="20"/>
          <w:szCs w:val="20"/>
        </w:rPr>
        <w:t xml:space="preserve"> (n=185)</w:t>
      </w:r>
      <w:r>
        <w:rPr>
          <w:sz w:val="20"/>
          <w:szCs w:val="20"/>
        </w:rPr>
        <w:t xml:space="preserve"> was used to support the safety of FF/VI in patients with COPD because the systemic exposure to FF is higher in patients with asthma than </w:t>
      </w:r>
      <w:r w:rsidR="00251954">
        <w:rPr>
          <w:sz w:val="20"/>
          <w:szCs w:val="20"/>
        </w:rPr>
        <w:t>with COPD.  Twenty-four hour serial serum cortisol was measured at baseline and at day 42.  This was a non-inferiority study comparing FF/VI 100/25, FF/VI 200/25</w:t>
      </w:r>
      <w:r w:rsidR="008720A9">
        <w:rPr>
          <w:sz w:val="20"/>
          <w:szCs w:val="20"/>
        </w:rPr>
        <w:t>, and prednisolone 10mg</w:t>
      </w:r>
      <w:r w:rsidR="00251954">
        <w:rPr>
          <w:sz w:val="20"/>
          <w:szCs w:val="20"/>
        </w:rPr>
        <w:t xml:space="preserve"> to placebo.  </w:t>
      </w:r>
      <w:r w:rsidR="008720A9">
        <w:rPr>
          <w:sz w:val="20"/>
          <w:szCs w:val="20"/>
        </w:rPr>
        <w:t xml:space="preserve">In order to demonstrate non-inferiority, the lower bound of the confidence interval had to be greater than 0.8.  </w:t>
      </w:r>
      <w:r w:rsidR="008F5F0D" w:rsidRPr="008F5F0D">
        <w:rPr>
          <w:sz w:val="20"/>
          <w:szCs w:val="20"/>
          <w:lang w:val="en"/>
        </w:rPr>
        <w:t xml:space="preserve">Treatment ratio relative to placebo for FF/VI 100/25 was 0.99 [95%CI </w:t>
      </w:r>
      <w:r w:rsidR="008F5F0D">
        <w:rPr>
          <w:sz w:val="20"/>
          <w:szCs w:val="20"/>
          <w:lang w:val="en"/>
        </w:rPr>
        <w:t xml:space="preserve">0.87, </w:t>
      </w:r>
      <w:r w:rsidR="008F5F0D" w:rsidRPr="008F5F0D">
        <w:rPr>
          <w:sz w:val="20"/>
          <w:szCs w:val="20"/>
          <w:lang w:val="en"/>
        </w:rPr>
        <w:t xml:space="preserve">1.12] and FF/VI 200/25 was 0.97 [95%CI </w:t>
      </w:r>
      <w:r w:rsidR="008F5F0D">
        <w:rPr>
          <w:sz w:val="20"/>
          <w:szCs w:val="20"/>
          <w:lang w:val="en"/>
        </w:rPr>
        <w:t xml:space="preserve">0.86, </w:t>
      </w:r>
      <w:r w:rsidR="008F5F0D" w:rsidRPr="008F5F0D">
        <w:rPr>
          <w:sz w:val="20"/>
          <w:szCs w:val="20"/>
          <w:lang w:val="en"/>
        </w:rPr>
        <w:t xml:space="preserve">1.10] </w:t>
      </w:r>
      <w:r w:rsidR="00FD0465">
        <w:rPr>
          <w:sz w:val="20"/>
          <w:szCs w:val="20"/>
          <w:lang w:val="en"/>
        </w:rPr>
        <w:t xml:space="preserve">demonstrating </w:t>
      </w:r>
      <w:r w:rsidR="00FD0465" w:rsidRPr="008F5F0D">
        <w:rPr>
          <w:sz w:val="20"/>
          <w:szCs w:val="20"/>
          <w:lang w:val="en"/>
        </w:rPr>
        <w:t>non</w:t>
      </w:r>
      <w:r w:rsidR="008F5F0D" w:rsidRPr="008F5F0D">
        <w:rPr>
          <w:sz w:val="20"/>
          <w:szCs w:val="20"/>
          <w:lang w:val="en"/>
        </w:rPr>
        <w:t>-inferiority of both FF/VI doses to placebo.  The treatment ratio of prednisolone to placebo was 0.34 [95% CI 0.28, 0.41] indicating reduced serum cortisol.</w:t>
      </w:r>
    </w:p>
    <w:p w:rsidR="00666295" w:rsidRDefault="00666295">
      <w:pPr>
        <w:rPr>
          <w:b/>
          <w:sz w:val="22"/>
          <w:szCs w:val="22"/>
          <w:u w:val="single"/>
        </w:rPr>
      </w:pPr>
    </w:p>
    <w:p w:rsidR="000A3F76" w:rsidRPr="00B8048A" w:rsidRDefault="000A3F76">
      <w:pPr>
        <w:rPr>
          <w:b/>
          <w:sz w:val="22"/>
          <w:szCs w:val="22"/>
          <w:u w:val="single"/>
        </w:rPr>
      </w:pPr>
      <w:r w:rsidRPr="00B8048A">
        <w:rPr>
          <w:b/>
          <w:sz w:val="22"/>
          <w:szCs w:val="22"/>
          <w:u w:val="single"/>
        </w:rPr>
        <w:lastRenderedPageBreak/>
        <w:t>Contraindications</w:t>
      </w:r>
    </w:p>
    <w:p w:rsidR="00EF1CC4" w:rsidRPr="00175E79" w:rsidRDefault="00E96EEF" w:rsidP="00175E79">
      <w:pPr>
        <w:pStyle w:val="ListParagraph"/>
        <w:numPr>
          <w:ilvl w:val="0"/>
          <w:numId w:val="7"/>
        </w:numPr>
        <w:ind w:left="360"/>
        <w:rPr>
          <w:sz w:val="20"/>
          <w:szCs w:val="20"/>
        </w:rPr>
      </w:pPr>
      <w:r w:rsidRPr="00175E79">
        <w:rPr>
          <w:sz w:val="20"/>
          <w:szCs w:val="20"/>
        </w:rPr>
        <w:t>Seve</w:t>
      </w:r>
      <w:r w:rsidR="00236E34" w:rsidRPr="00175E79">
        <w:rPr>
          <w:sz w:val="20"/>
          <w:szCs w:val="20"/>
        </w:rPr>
        <w:t>re hypersensitivity to mild proteins</w:t>
      </w:r>
    </w:p>
    <w:p w:rsidR="00236E34" w:rsidRPr="00175E79" w:rsidRDefault="00236E34" w:rsidP="00175E79">
      <w:pPr>
        <w:pStyle w:val="ListParagraph"/>
        <w:numPr>
          <w:ilvl w:val="0"/>
          <w:numId w:val="7"/>
        </w:numPr>
        <w:ind w:left="360"/>
        <w:rPr>
          <w:sz w:val="20"/>
          <w:szCs w:val="20"/>
        </w:rPr>
      </w:pPr>
      <w:r w:rsidRPr="00175E79">
        <w:rPr>
          <w:sz w:val="20"/>
          <w:szCs w:val="20"/>
        </w:rPr>
        <w:t xml:space="preserve">Hypersensitivity </w:t>
      </w:r>
      <w:r w:rsidR="00175E79" w:rsidRPr="00175E79">
        <w:rPr>
          <w:sz w:val="20"/>
          <w:szCs w:val="20"/>
        </w:rPr>
        <w:t>to fluticasone furoate, vilanterol or any of the excipients</w:t>
      </w:r>
    </w:p>
    <w:p w:rsidR="00407BAE" w:rsidRDefault="00407BAE">
      <w:pPr>
        <w:rPr>
          <w:b/>
          <w:sz w:val="22"/>
          <w:szCs w:val="22"/>
          <w:u w:val="single"/>
        </w:rPr>
      </w:pPr>
    </w:p>
    <w:p w:rsidR="000A3F76" w:rsidRPr="00B8048A" w:rsidRDefault="000A3F76">
      <w:pPr>
        <w:rPr>
          <w:b/>
          <w:sz w:val="22"/>
          <w:szCs w:val="22"/>
          <w:u w:val="single"/>
        </w:rPr>
      </w:pPr>
      <w:r w:rsidRPr="00B8048A">
        <w:rPr>
          <w:b/>
          <w:sz w:val="22"/>
          <w:szCs w:val="22"/>
          <w:u w:val="single"/>
        </w:rPr>
        <w:t>Warnings and Precautions</w:t>
      </w:r>
      <w:r w:rsidR="00EF1CC4" w:rsidRPr="00B8048A">
        <w:rPr>
          <w:b/>
          <w:sz w:val="22"/>
          <w:szCs w:val="22"/>
          <w:u w:val="single"/>
        </w:rPr>
        <w:t xml:space="preserve"> </w:t>
      </w:r>
    </w:p>
    <w:p w:rsidR="00EF1CC4" w:rsidRDefault="00EF1CC4">
      <w:pPr>
        <w:rPr>
          <w:i/>
          <w:sz w:val="20"/>
          <w:szCs w:val="20"/>
        </w:rPr>
      </w:pPr>
      <w:r w:rsidRPr="00B8048A">
        <w:rPr>
          <w:i/>
          <w:sz w:val="20"/>
          <w:szCs w:val="20"/>
        </w:rPr>
        <w:t>Consult product package insert for further information and instructions</w:t>
      </w:r>
    </w:p>
    <w:p w:rsidR="00175E79" w:rsidRDefault="00175E79">
      <w:pPr>
        <w:rPr>
          <w:i/>
          <w:sz w:val="20"/>
          <w:szCs w:val="20"/>
        </w:rPr>
      </w:pPr>
    </w:p>
    <w:p w:rsidR="00175E79" w:rsidRDefault="00175E79">
      <w:pPr>
        <w:rPr>
          <w:sz w:val="20"/>
          <w:szCs w:val="20"/>
        </w:rPr>
      </w:pPr>
      <w:r>
        <w:rPr>
          <w:sz w:val="20"/>
          <w:szCs w:val="20"/>
        </w:rPr>
        <w:t>Asthma-related death</w:t>
      </w:r>
    </w:p>
    <w:p w:rsidR="00175E79" w:rsidRDefault="00175E79">
      <w:pPr>
        <w:rPr>
          <w:sz w:val="20"/>
          <w:szCs w:val="20"/>
        </w:rPr>
      </w:pPr>
      <w:r>
        <w:rPr>
          <w:sz w:val="20"/>
          <w:szCs w:val="20"/>
        </w:rPr>
        <w:t>Deterioration of disease and acute episodes</w:t>
      </w:r>
    </w:p>
    <w:p w:rsidR="00175E79" w:rsidRDefault="00175E79">
      <w:pPr>
        <w:rPr>
          <w:sz w:val="20"/>
          <w:szCs w:val="20"/>
        </w:rPr>
      </w:pPr>
      <w:r>
        <w:rPr>
          <w:sz w:val="20"/>
          <w:szCs w:val="20"/>
        </w:rPr>
        <w:t>Excessive use of FF/VI and use with other long-acting beta-agonists</w:t>
      </w:r>
    </w:p>
    <w:p w:rsidR="00175E79" w:rsidRDefault="00175E79">
      <w:pPr>
        <w:rPr>
          <w:sz w:val="20"/>
          <w:szCs w:val="20"/>
        </w:rPr>
      </w:pPr>
      <w:r>
        <w:rPr>
          <w:sz w:val="20"/>
          <w:szCs w:val="20"/>
        </w:rPr>
        <w:t>Local effects of corticosteroids</w:t>
      </w:r>
    </w:p>
    <w:p w:rsidR="00175E79" w:rsidRDefault="00175E79">
      <w:pPr>
        <w:rPr>
          <w:sz w:val="20"/>
          <w:szCs w:val="20"/>
        </w:rPr>
      </w:pPr>
      <w:r>
        <w:rPr>
          <w:sz w:val="20"/>
          <w:szCs w:val="20"/>
        </w:rPr>
        <w:t>Pneumonia</w:t>
      </w:r>
    </w:p>
    <w:p w:rsidR="00175E79" w:rsidRDefault="00175E79">
      <w:pPr>
        <w:rPr>
          <w:sz w:val="20"/>
          <w:szCs w:val="20"/>
        </w:rPr>
      </w:pPr>
      <w:r>
        <w:rPr>
          <w:sz w:val="20"/>
          <w:szCs w:val="20"/>
        </w:rPr>
        <w:t>Immunosuppression</w:t>
      </w:r>
    </w:p>
    <w:p w:rsidR="00175E79" w:rsidRDefault="00175E79">
      <w:pPr>
        <w:rPr>
          <w:sz w:val="20"/>
          <w:szCs w:val="20"/>
        </w:rPr>
      </w:pPr>
      <w:r>
        <w:rPr>
          <w:sz w:val="20"/>
          <w:szCs w:val="20"/>
        </w:rPr>
        <w:t>Transferring patients from systemic corticosteroid therapy</w:t>
      </w:r>
    </w:p>
    <w:p w:rsidR="00175E79" w:rsidRDefault="00175E79">
      <w:pPr>
        <w:rPr>
          <w:sz w:val="20"/>
          <w:szCs w:val="20"/>
        </w:rPr>
      </w:pPr>
      <w:proofErr w:type="spellStart"/>
      <w:r>
        <w:rPr>
          <w:sz w:val="20"/>
          <w:szCs w:val="20"/>
        </w:rPr>
        <w:t>Hypercorticism</w:t>
      </w:r>
      <w:proofErr w:type="spellEnd"/>
      <w:r>
        <w:rPr>
          <w:sz w:val="20"/>
          <w:szCs w:val="20"/>
        </w:rPr>
        <w:t xml:space="preserve"> and adrenal suppression</w:t>
      </w:r>
    </w:p>
    <w:p w:rsidR="00175E79" w:rsidRDefault="00175E79">
      <w:pPr>
        <w:rPr>
          <w:sz w:val="20"/>
          <w:szCs w:val="20"/>
        </w:rPr>
      </w:pPr>
      <w:r>
        <w:rPr>
          <w:sz w:val="20"/>
          <w:szCs w:val="20"/>
        </w:rPr>
        <w:t>Drug Interactions with strong CYP P450 3A4 inhibitors</w:t>
      </w:r>
    </w:p>
    <w:p w:rsidR="00175E79" w:rsidRDefault="00175E79">
      <w:pPr>
        <w:rPr>
          <w:sz w:val="20"/>
          <w:szCs w:val="20"/>
        </w:rPr>
      </w:pPr>
      <w:r>
        <w:rPr>
          <w:sz w:val="20"/>
          <w:szCs w:val="20"/>
        </w:rPr>
        <w:t>Paradoxical Bronchospasm</w:t>
      </w:r>
    </w:p>
    <w:p w:rsidR="00175E79" w:rsidRDefault="00175E79">
      <w:pPr>
        <w:rPr>
          <w:sz w:val="20"/>
          <w:szCs w:val="20"/>
        </w:rPr>
      </w:pPr>
      <w:r>
        <w:rPr>
          <w:sz w:val="20"/>
          <w:szCs w:val="20"/>
        </w:rPr>
        <w:t>Hypersensitivity reactions</w:t>
      </w:r>
    </w:p>
    <w:p w:rsidR="00175E79" w:rsidRDefault="00175E79">
      <w:pPr>
        <w:rPr>
          <w:sz w:val="20"/>
          <w:szCs w:val="20"/>
        </w:rPr>
      </w:pPr>
      <w:r>
        <w:rPr>
          <w:sz w:val="20"/>
          <w:szCs w:val="20"/>
        </w:rPr>
        <w:t>Cardiovascular Effects</w:t>
      </w:r>
    </w:p>
    <w:p w:rsidR="00175E79" w:rsidRDefault="00175E79">
      <w:pPr>
        <w:rPr>
          <w:sz w:val="20"/>
          <w:szCs w:val="20"/>
        </w:rPr>
      </w:pPr>
      <w:r>
        <w:rPr>
          <w:sz w:val="20"/>
          <w:szCs w:val="20"/>
        </w:rPr>
        <w:t>Reduction in bone mineral density</w:t>
      </w:r>
    </w:p>
    <w:p w:rsidR="00175E79" w:rsidRDefault="00175E79">
      <w:pPr>
        <w:rPr>
          <w:sz w:val="20"/>
          <w:szCs w:val="20"/>
        </w:rPr>
      </w:pPr>
      <w:r>
        <w:rPr>
          <w:sz w:val="20"/>
          <w:szCs w:val="20"/>
        </w:rPr>
        <w:t>Glaucoma and cataracts</w:t>
      </w:r>
    </w:p>
    <w:p w:rsidR="00175E79" w:rsidRDefault="00175E79">
      <w:pPr>
        <w:rPr>
          <w:sz w:val="20"/>
          <w:szCs w:val="20"/>
        </w:rPr>
      </w:pPr>
      <w:r>
        <w:rPr>
          <w:sz w:val="20"/>
          <w:szCs w:val="20"/>
        </w:rPr>
        <w:t>Coexisting conditions</w:t>
      </w:r>
    </w:p>
    <w:p w:rsidR="00175E79" w:rsidRPr="00175E79" w:rsidRDefault="00175E79">
      <w:pPr>
        <w:rPr>
          <w:sz w:val="20"/>
          <w:szCs w:val="20"/>
        </w:rPr>
      </w:pPr>
      <w:r>
        <w:rPr>
          <w:sz w:val="20"/>
          <w:szCs w:val="20"/>
        </w:rPr>
        <w:t>Hypokalemia and hyperglycemia</w:t>
      </w:r>
    </w:p>
    <w:p w:rsidR="001076FC" w:rsidRPr="00B8048A" w:rsidRDefault="001076FC">
      <w:pPr>
        <w:rPr>
          <w:i/>
          <w:sz w:val="20"/>
          <w:szCs w:val="20"/>
        </w:rPr>
      </w:pPr>
    </w:p>
    <w:p w:rsidR="0039158E" w:rsidRDefault="0039158E" w:rsidP="00081957">
      <w:pPr>
        <w:rPr>
          <w:b/>
          <w:sz w:val="22"/>
          <w:szCs w:val="22"/>
          <w:u w:val="single"/>
        </w:rPr>
      </w:pPr>
      <w:r>
        <w:rPr>
          <w:b/>
          <w:sz w:val="22"/>
          <w:szCs w:val="22"/>
          <w:u w:val="single"/>
        </w:rPr>
        <w:t>Special Populations</w:t>
      </w:r>
    </w:p>
    <w:p w:rsidR="0039158E" w:rsidRDefault="0039158E" w:rsidP="0039158E">
      <w:pPr>
        <w:rPr>
          <w:sz w:val="20"/>
          <w:szCs w:val="20"/>
        </w:rPr>
      </w:pPr>
      <w:r w:rsidRPr="006315C5">
        <w:rPr>
          <w:i/>
          <w:sz w:val="20"/>
          <w:szCs w:val="20"/>
        </w:rPr>
        <w:t>Pregnancy Category C:</w:t>
      </w:r>
      <w:r w:rsidRPr="0039158E">
        <w:rPr>
          <w:sz w:val="20"/>
          <w:szCs w:val="20"/>
        </w:rPr>
        <w:t xml:space="preserve"> </w:t>
      </w:r>
      <w:r w:rsidR="00564F88">
        <w:rPr>
          <w:sz w:val="20"/>
          <w:szCs w:val="20"/>
        </w:rPr>
        <w:t xml:space="preserve">There are no adequate trial data in pregnant women.  In laboratory animals, systemic administration of corticosteroids and beta-agonists has been shown to be teratogenic.  There were no teratogenic effects noted in rats and rabbits receiving inhaled FF/VI, FF, or VI at doses </w:t>
      </w:r>
      <w:r w:rsidR="006315C5">
        <w:rPr>
          <w:sz w:val="20"/>
          <w:szCs w:val="20"/>
        </w:rPr>
        <w:t xml:space="preserve">that exceed human doses, with the exception of </w:t>
      </w:r>
      <w:r w:rsidR="00564F88">
        <w:rPr>
          <w:sz w:val="20"/>
          <w:szCs w:val="20"/>
        </w:rPr>
        <w:t xml:space="preserve">fetal skeletal variation </w:t>
      </w:r>
      <w:r w:rsidR="006315C5">
        <w:rPr>
          <w:sz w:val="20"/>
          <w:szCs w:val="20"/>
        </w:rPr>
        <w:t xml:space="preserve">(i.e., decreased or absent ossification in cervical vertebral centrum and metacarpals) in rabbits </w:t>
      </w:r>
      <w:r w:rsidR="00564F88">
        <w:rPr>
          <w:sz w:val="20"/>
          <w:szCs w:val="20"/>
        </w:rPr>
        <w:t xml:space="preserve">with VI at 1000x the maximum recommended human daily dose </w:t>
      </w:r>
      <w:r w:rsidR="006315C5">
        <w:rPr>
          <w:sz w:val="20"/>
          <w:szCs w:val="20"/>
        </w:rPr>
        <w:t>.  FF/VI should be used during pregnancy only if the potential benefits justify potential risk to the fetus.</w:t>
      </w:r>
    </w:p>
    <w:p w:rsidR="006315C5" w:rsidRDefault="006315C5" w:rsidP="0039158E">
      <w:pPr>
        <w:rPr>
          <w:sz w:val="20"/>
          <w:szCs w:val="20"/>
        </w:rPr>
      </w:pPr>
    </w:p>
    <w:p w:rsidR="006315C5" w:rsidRDefault="006315C5" w:rsidP="0039158E">
      <w:pPr>
        <w:rPr>
          <w:sz w:val="20"/>
          <w:szCs w:val="20"/>
        </w:rPr>
      </w:pPr>
      <w:r w:rsidRPr="006315C5">
        <w:rPr>
          <w:i/>
          <w:sz w:val="20"/>
          <w:szCs w:val="20"/>
        </w:rPr>
        <w:t>Nursing Women:</w:t>
      </w:r>
      <w:r>
        <w:rPr>
          <w:sz w:val="20"/>
          <w:szCs w:val="20"/>
        </w:rPr>
        <w:t xml:space="preserve">  It is unknown if FF/VI is excreted in human breast milk.  Because other corticosteroids and beta-agonists have been detected in human milk, caution should be used when administering FF/VI to nursing women.</w:t>
      </w:r>
    </w:p>
    <w:p w:rsidR="006315C5" w:rsidRDefault="006315C5" w:rsidP="0039158E">
      <w:pPr>
        <w:rPr>
          <w:sz w:val="20"/>
          <w:szCs w:val="20"/>
        </w:rPr>
      </w:pPr>
    </w:p>
    <w:p w:rsidR="0039158E" w:rsidRPr="0039158E" w:rsidRDefault="0039158E" w:rsidP="0039158E">
      <w:pPr>
        <w:rPr>
          <w:sz w:val="20"/>
          <w:szCs w:val="20"/>
        </w:rPr>
      </w:pPr>
      <w:r w:rsidRPr="006315C5">
        <w:rPr>
          <w:i/>
          <w:sz w:val="20"/>
          <w:szCs w:val="20"/>
        </w:rPr>
        <w:t>Geriatric Use:</w:t>
      </w:r>
      <w:r>
        <w:rPr>
          <w:sz w:val="20"/>
          <w:szCs w:val="20"/>
        </w:rPr>
        <w:t xml:space="preserve">  Among the patients participating in the COPD clinical trials, 2,508 and 565 were ≥ 65 and ≥ 75 years old respectively.  No overall differences in effectiveness or safety were noted between these patients and younger patients.</w:t>
      </w:r>
    </w:p>
    <w:p w:rsidR="0039158E" w:rsidRDefault="0039158E" w:rsidP="00081957">
      <w:pPr>
        <w:rPr>
          <w:b/>
          <w:sz w:val="22"/>
          <w:szCs w:val="22"/>
          <w:u w:val="single"/>
        </w:rPr>
      </w:pPr>
    </w:p>
    <w:p w:rsidR="00081957" w:rsidRPr="00C75C21" w:rsidRDefault="00081957" w:rsidP="00081957">
      <w:pPr>
        <w:rPr>
          <w:b/>
          <w:sz w:val="22"/>
          <w:szCs w:val="22"/>
          <w:u w:val="single"/>
        </w:rPr>
      </w:pPr>
      <w:r w:rsidRPr="001E5994">
        <w:rPr>
          <w:b/>
          <w:sz w:val="22"/>
          <w:szCs w:val="22"/>
          <w:u w:val="single"/>
        </w:rPr>
        <w:t>Look-alike / Sound-alike (LASA) Error Risk Potential</w:t>
      </w:r>
    </w:p>
    <w:p w:rsidR="00081957" w:rsidRPr="000A4B3D" w:rsidRDefault="00081957" w:rsidP="00081957">
      <w:pPr>
        <w:pStyle w:val="NoSpacing"/>
        <w:rPr>
          <w:sz w:val="20"/>
          <w:szCs w:val="20"/>
        </w:rPr>
      </w:pPr>
      <w:r w:rsidRPr="000A4B3D">
        <w:rPr>
          <w:sz w:val="20"/>
          <w:szCs w:val="20"/>
        </w:rPr>
        <w:t xml:space="preserve">As part of a </w:t>
      </w:r>
      <w:r w:rsidRPr="004C39F3">
        <w:rPr>
          <w:sz w:val="20"/>
          <w:szCs w:val="20"/>
        </w:rPr>
        <w:t>Joint Commission</w:t>
      </w:r>
      <w:r w:rsidRPr="000A4B3D">
        <w:rPr>
          <w:color w:val="403152"/>
          <w:sz w:val="20"/>
          <w:szCs w:val="20"/>
        </w:rPr>
        <w:t xml:space="preserve"> </w:t>
      </w:r>
      <w:r w:rsidRPr="000A4B3D">
        <w:rPr>
          <w:sz w:val="20"/>
          <w:szCs w:val="20"/>
        </w:rPr>
        <w:t>standard, LASA names are assessed during the formulary selection of drugs.  Based on clinical judgment and an evaluation of LASA information from three data sources (Lexi-Comp, First Databank, and ISMP Confused Drug Name List), the following drug names may cause LASA confusion:</w:t>
      </w:r>
      <w:r>
        <w:rPr>
          <w:sz w:val="20"/>
          <w:szCs w:val="20"/>
        </w:rPr>
        <w:t xml:space="preserve">  </w:t>
      </w:r>
    </w:p>
    <w:p w:rsidR="00081957" w:rsidRDefault="00081957" w:rsidP="00081957">
      <w:pPr>
        <w:rPr>
          <w:color w:val="000000"/>
          <w:sz w:val="20"/>
          <w:szCs w:val="20"/>
        </w:rPr>
      </w:pPr>
    </w:p>
    <w:p w:rsidR="00081957" w:rsidRPr="000B1F22" w:rsidRDefault="00081957" w:rsidP="00081957">
      <w:pPr>
        <w:rPr>
          <w:rFonts w:ascii="Calibri" w:hAnsi="Calibri"/>
          <w:b/>
          <w:color w:val="000000"/>
          <w:sz w:val="20"/>
          <w:szCs w:val="20"/>
        </w:rPr>
      </w:pPr>
      <w:r w:rsidRPr="000B1F22">
        <w:rPr>
          <w:rFonts w:ascii="Calibri" w:hAnsi="Calibri"/>
          <w:b/>
          <w:color w:val="000000"/>
          <w:sz w:val="20"/>
          <w:szCs w:val="20"/>
        </w:rPr>
        <w:t xml:space="preserve">Table </w:t>
      </w:r>
      <w:r>
        <w:rPr>
          <w:rFonts w:ascii="Calibri" w:hAnsi="Calibri"/>
          <w:b/>
          <w:color w:val="000000"/>
          <w:sz w:val="20"/>
          <w:szCs w:val="20"/>
        </w:rPr>
        <w:t>1</w:t>
      </w:r>
      <w:r w:rsidR="00970B3D">
        <w:rPr>
          <w:rFonts w:ascii="Calibri" w:hAnsi="Calibri"/>
          <w:b/>
          <w:color w:val="000000"/>
          <w:sz w:val="20"/>
          <w:szCs w:val="20"/>
        </w:rPr>
        <w:t>1</w:t>
      </w:r>
      <w:r w:rsidRPr="000B1F22">
        <w:rPr>
          <w:rFonts w:ascii="Calibri" w:hAnsi="Calibri"/>
          <w:b/>
          <w:color w:val="000000"/>
          <w:sz w:val="20"/>
          <w:szCs w:val="20"/>
        </w:rPr>
        <w:t>:  Results of LASA Search</w:t>
      </w:r>
    </w:p>
    <w:tbl>
      <w:tblPr>
        <w:tblpPr w:leftFromText="180" w:rightFromText="180" w:vertAnchor="text" w:horzAnchor="margin" w:tblpY="4"/>
        <w:tblW w:w="3619" w:type="pct"/>
        <w:tblCellMar>
          <w:left w:w="0" w:type="dxa"/>
          <w:right w:w="0" w:type="dxa"/>
        </w:tblCellMar>
        <w:tblLook w:val="04A0" w:firstRow="1" w:lastRow="0" w:firstColumn="1" w:lastColumn="0" w:noHBand="0" w:noVBand="1"/>
      </w:tblPr>
      <w:tblGrid>
        <w:gridCol w:w="2153"/>
        <w:gridCol w:w="1004"/>
        <w:gridCol w:w="1293"/>
        <w:gridCol w:w="770"/>
        <w:gridCol w:w="1711"/>
      </w:tblGrid>
      <w:tr w:rsidR="00081957" w:rsidRPr="00D13D23" w:rsidTr="00E1757B">
        <w:tc>
          <w:tcPr>
            <w:tcW w:w="1054" w:type="pct"/>
            <w:tcBorders>
              <w:top w:val="single" w:sz="8" w:space="0" w:color="000000"/>
              <w:left w:val="nil"/>
              <w:bottom w:val="single" w:sz="8" w:space="0" w:color="000000"/>
            </w:tcBorders>
            <w:shd w:val="clear" w:color="auto" w:fill="EEECE1"/>
            <w:tcMar>
              <w:top w:w="0" w:type="dxa"/>
              <w:left w:w="108" w:type="dxa"/>
              <w:bottom w:w="0" w:type="dxa"/>
              <w:right w:w="108" w:type="dxa"/>
            </w:tcMar>
            <w:hideMark/>
          </w:tcPr>
          <w:p w:rsidR="00081957" w:rsidRPr="00BB2845" w:rsidRDefault="00081957" w:rsidP="00E1757B">
            <w:pPr>
              <w:rPr>
                <w:rFonts w:ascii="Calibri" w:eastAsia="Calibri" w:hAnsi="Calibri"/>
                <w:sz w:val="16"/>
                <w:szCs w:val="16"/>
              </w:rPr>
            </w:pPr>
            <w:r w:rsidRPr="00BB2845">
              <w:rPr>
                <w:rFonts w:ascii="Calibri" w:hAnsi="Calibri"/>
                <w:sz w:val="16"/>
                <w:szCs w:val="16"/>
              </w:rPr>
              <w:t>NME Drug Name</w:t>
            </w:r>
          </w:p>
        </w:tc>
        <w:tc>
          <w:tcPr>
            <w:tcW w:w="934" w:type="pct"/>
            <w:tcBorders>
              <w:top w:val="single" w:sz="8" w:space="0" w:color="000000"/>
              <w:bottom w:val="single" w:sz="8" w:space="0" w:color="000000"/>
            </w:tcBorders>
            <w:shd w:val="clear" w:color="auto" w:fill="EEECE1"/>
            <w:tcMar>
              <w:top w:w="0" w:type="dxa"/>
              <w:left w:w="108" w:type="dxa"/>
              <w:bottom w:w="0" w:type="dxa"/>
              <w:right w:w="108" w:type="dxa"/>
            </w:tcMar>
            <w:hideMark/>
          </w:tcPr>
          <w:p w:rsidR="00081957" w:rsidRPr="00BB2845" w:rsidRDefault="00081957" w:rsidP="00E1757B">
            <w:pPr>
              <w:rPr>
                <w:rFonts w:ascii="Calibri" w:eastAsia="Calibri" w:hAnsi="Calibri"/>
                <w:sz w:val="16"/>
                <w:szCs w:val="16"/>
              </w:rPr>
            </w:pPr>
            <w:r w:rsidRPr="00BB2845">
              <w:rPr>
                <w:rFonts w:ascii="Calibri" w:hAnsi="Calibri"/>
                <w:sz w:val="16"/>
                <w:szCs w:val="16"/>
              </w:rPr>
              <w:t>Lexi-Comp</w:t>
            </w:r>
          </w:p>
        </w:tc>
        <w:tc>
          <w:tcPr>
            <w:tcW w:w="1142" w:type="pct"/>
            <w:tcBorders>
              <w:top w:val="single" w:sz="8" w:space="0" w:color="000000"/>
              <w:bottom w:val="single" w:sz="8" w:space="0" w:color="000000"/>
            </w:tcBorders>
            <w:shd w:val="clear" w:color="auto" w:fill="EEECE1"/>
            <w:tcMar>
              <w:top w:w="0" w:type="dxa"/>
              <w:left w:w="108" w:type="dxa"/>
              <w:bottom w:w="0" w:type="dxa"/>
              <w:right w:w="108" w:type="dxa"/>
            </w:tcMar>
            <w:hideMark/>
          </w:tcPr>
          <w:p w:rsidR="00081957" w:rsidRPr="00BB2845" w:rsidRDefault="00081957" w:rsidP="00E1757B">
            <w:pPr>
              <w:rPr>
                <w:rFonts w:ascii="Calibri" w:eastAsia="Calibri" w:hAnsi="Calibri"/>
                <w:sz w:val="16"/>
                <w:szCs w:val="16"/>
              </w:rPr>
            </w:pPr>
            <w:r w:rsidRPr="00BB2845">
              <w:rPr>
                <w:rFonts w:ascii="Calibri" w:hAnsi="Calibri"/>
                <w:sz w:val="16"/>
                <w:szCs w:val="16"/>
              </w:rPr>
              <w:t xml:space="preserve">First </w:t>
            </w:r>
            <w:proofErr w:type="spellStart"/>
            <w:r w:rsidRPr="00BB2845">
              <w:rPr>
                <w:rFonts w:ascii="Calibri" w:hAnsi="Calibri"/>
                <w:sz w:val="16"/>
                <w:szCs w:val="16"/>
              </w:rPr>
              <w:t>DataBank</w:t>
            </w:r>
            <w:proofErr w:type="spellEnd"/>
          </w:p>
        </w:tc>
        <w:tc>
          <w:tcPr>
            <w:tcW w:w="765" w:type="pct"/>
            <w:tcBorders>
              <w:top w:val="single" w:sz="8" w:space="0" w:color="000000"/>
              <w:bottom w:val="single" w:sz="8" w:space="0" w:color="000000"/>
            </w:tcBorders>
            <w:shd w:val="clear" w:color="auto" w:fill="EEECE1"/>
            <w:tcMar>
              <w:top w:w="0" w:type="dxa"/>
              <w:left w:w="108" w:type="dxa"/>
              <w:bottom w:w="0" w:type="dxa"/>
              <w:right w:w="108" w:type="dxa"/>
            </w:tcMar>
            <w:hideMark/>
          </w:tcPr>
          <w:p w:rsidR="00081957" w:rsidRPr="00BB2845" w:rsidRDefault="00081957" w:rsidP="00E1757B">
            <w:pPr>
              <w:rPr>
                <w:rFonts w:ascii="Calibri" w:eastAsia="Calibri" w:hAnsi="Calibri"/>
                <w:sz w:val="16"/>
                <w:szCs w:val="16"/>
              </w:rPr>
            </w:pPr>
            <w:r w:rsidRPr="00BB2845">
              <w:rPr>
                <w:rFonts w:ascii="Calibri" w:hAnsi="Calibri"/>
                <w:sz w:val="16"/>
                <w:szCs w:val="16"/>
              </w:rPr>
              <w:t>ISMP</w:t>
            </w:r>
          </w:p>
        </w:tc>
        <w:tc>
          <w:tcPr>
            <w:tcW w:w="1105" w:type="pct"/>
            <w:tcBorders>
              <w:top w:val="single" w:sz="8" w:space="0" w:color="000000"/>
              <w:bottom w:val="single" w:sz="8" w:space="0" w:color="000000"/>
            </w:tcBorders>
            <w:shd w:val="clear" w:color="auto" w:fill="EEECE1"/>
            <w:tcMar>
              <w:top w:w="0" w:type="dxa"/>
              <w:left w:w="108" w:type="dxa"/>
              <w:bottom w:w="0" w:type="dxa"/>
              <w:right w:w="108" w:type="dxa"/>
            </w:tcMar>
            <w:hideMark/>
          </w:tcPr>
          <w:p w:rsidR="00081957" w:rsidRPr="00BB2845" w:rsidRDefault="00081957" w:rsidP="00E1757B">
            <w:pPr>
              <w:rPr>
                <w:rFonts w:ascii="Calibri" w:eastAsia="Calibri" w:hAnsi="Calibri"/>
                <w:sz w:val="16"/>
                <w:szCs w:val="16"/>
              </w:rPr>
            </w:pPr>
            <w:r w:rsidRPr="00BB2845">
              <w:rPr>
                <w:rFonts w:ascii="Calibri" w:hAnsi="Calibri"/>
                <w:sz w:val="16"/>
                <w:szCs w:val="16"/>
              </w:rPr>
              <w:t>Clinical Judgment</w:t>
            </w:r>
          </w:p>
        </w:tc>
      </w:tr>
      <w:tr w:rsidR="00081957" w:rsidRPr="00D13D23" w:rsidTr="00750393">
        <w:trPr>
          <w:trHeight w:val="565"/>
        </w:trPr>
        <w:tc>
          <w:tcPr>
            <w:tcW w:w="1054" w:type="pct"/>
            <w:tcBorders>
              <w:top w:val="nil"/>
              <w:left w:val="nil"/>
              <w:bottom w:val="single" w:sz="8" w:space="0" w:color="000000"/>
            </w:tcBorders>
            <w:noWrap/>
            <w:tcMar>
              <w:top w:w="0" w:type="dxa"/>
              <w:left w:w="108" w:type="dxa"/>
              <w:bottom w:w="0" w:type="dxa"/>
              <w:right w:w="108" w:type="dxa"/>
            </w:tcMar>
          </w:tcPr>
          <w:p w:rsidR="00081957" w:rsidRPr="00BB2845" w:rsidRDefault="00081957" w:rsidP="00E1757B">
            <w:pPr>
              <w:rPr>
                <w:rFonts w:ascii="Calibri" w:hAnsi="Calibri"/>
                <w:sz w:val="16"/>
                <w:szCs w:val="16"/>
              </w:rPr>
            </w:pPr>
            <w:r>
              <w:rPr>
                <w:rFonts w:ascii="Calibri" w:hAnsi="Calibri"/>
                <w:sz w:val="16"/>
                <w:szCs w:val="16"/>
              </w:rPr>
              <w:t>Fluticasone furoate/</w:t>
            </w:r>
            <w:r w:rsidR="00004958">
              <w:rPr>
                <w:rFonts w:ascii="Calibri" w:hAnsi="Calibri"/>
                <w:sz w:val="16"/>
                <w:szCs w:val="16"/>
              </w:rPr>
              <w:t>vilanterol</w:t>
            </w:r>
          </w:p>
          <w:p w:rsidR="00081957" w:rsidRPr="00BB2845" w:rsidRDefault="00081957" w:rsidP="00E1757B">
            <w:pPr>
              <w:rPr>
                <w:rFonts w:ascii="Calibri" w:hAnsi="Calibri"/>
                <w:sz w:val="16"/>
                <w:szCs w:val="16"/>
              </w:rPr>
            </w:pPr>
          </w:p>
          <w:p w:rsidR="00081957" w:rsidRPr="00BB2845" w:rsidRDefault="00081957" w:rsidP="00E1757B">
            <w:pPr>
              <w:spacing w:after="200" w:line="276" w:lineRule="auto"/>
              <w:rPr>
                <w:rFonts w:ascii="Calibri" w:eastAsia="Calibri" w:hAnsi="Calibri"/>
                <w:sz w:val="16"/>
                <w:szCs w:val="16"/>
              </w:rPr>
            </w:pPr>
            <w:proofErr w:type="spellStart"/>
            <w:r>
              <w:rPr>
                <w:rFonts w:ascii="Calibri" w:eastAsia="Calibri" w:hAnsi="Calibri"/>
                <w:sz w:val="16"/>
                <w:szCs w:val="16"/>
              </w:rPr>
              <w:t>Breo</w:t>
            </w:r>
            <w:proofErr w:type="spellEnd"/>
            <w:r w:rsidR="000802F3">
              <w:rPr>
                <w:rFonts w:ascii="Calibri" w:eastAsia="Calibri" w:hAnsi="Calibri"/>
                <w:sz w:val="16"/>
                <w:szCs w:val="16"/>
              </w:rPr>
              <w:t xml:space="preserve"> </w:t>
            </w:r>
            <w:proofErr w:type="spellStart"/>
            <w:r w:rsidR="000802F3">
              <w:rPr>
                <w:rFonts w:ascii="Calibri" w:eastAsia="Calibri" w:hAnsi="Calibri"/>
                <w:sz w:val="16"/>
                <w:szCs w:val="16"/>
              </w:rPr>
              <w:t>Ellipta</w:t>
            </w:r>
            <w:proofErr w:type="spellEnd"/>
          </w:p>
        </w:tc>
        <w:tc>
          <w:tcPr>
            <w:tcW w:w="934" w:type="pct"/>
            <w:tcBorders>
              <w:top w:val="single" w:sz="8" w:space="0" w:color="000000"/>
              <w:bottom w:val="single" w:sz="8" w:space="0" w:color="000000"/>
            </w:tcBorders>
            <w:tcMar>
              <w:top w:w="0" w:type="dxa"/>
              <w:left w:w="108" w:type="dxa"/>
              <w:bottom w:w="0" w:type="dxa"/>
              <w:right w:w="108" w:type="dxa"/>
            </w:tcMar>
          </w:tcPr>
          <w:p w:rsidR="00081957" w:rsidRDefault="00750393" w:rsidP="00E1757B">
            <w:pPr>
              <w:rPr>
                <w:rFonts w:ascii="Calibri" w:eastAsia="Calibri" w:hAnsi="Calibri"/>
                <w:sz w:val="16"/>
                <w:szCs w:val="16"/>
              </w:rPr>
            </w:pPr>
            <w:r>
              <w:rPr>
                <w:rFonts w:ascii="Calibri" w:eastAsia="Calibri" w:hAnsi="Calibri"/>
                <w:sz w:val="16"/>
                <w:szCs w:val="16"/>
              </w:rPr>
              <w:t>None</w:t>
            </w:r>
          </w:p>
          <w:p w:rsidR="00750393" w:rsidRDefault="00750393" w:rsidP="00E1757B">
            <w:pPr>
              <w:rPr>
                <w:rFonts w:ascii="Calibri" w:eastAsia="Calibri" w:hAnsi="Calibri"/>
                <w:sz w:val="16"/>
                <w:szCs w:val="16"/>
              </w:rPr>
            </w:pPr>
          </w:p>
          <w:p w:rsidR="00750393" w:rsidRPr="00BB2845" w:rsidRDefault="00750393" w:rsidP="00E1757B">
            <w:pPr>
              <w:rPr>
                <w:rFonts w:ascii="Calibri" w:eastAsia="Calibri" w:hAnsi="Calibri"/>
                <w:sz w:val="16"/>
                <w:szCs w:val="16"/>
              </w:rPr>
            </w:pPr>
            <w:r>
              <w:rPr>
                <w:rFonts w:ascii="Calibri" w:eastAsia="Calibri" w:hAnsi="Calibri"/>
                <w:sz w:val="16"/>
                <w:szCs w:val="16"/>
              </w:rPr>
              <w:t>None</w:t>
            </w:r>
          </w:p>
        </w:tc>
        <w:tc>
          <w:tcPr>
            <w:tcW w:w="1142" w:type="pct"/>
            <w:tcBorders>
              <w:top w:val="single" w:sz="8" w:space="0" w:color="000000"/>
              <w:bottom w:val="single" w:sz="8" w:space="0" w:color="000000"/>
            </w:tcBorders>
            <w:tcMar>
              <w:top w:w="0" w:type="dxa"/>
              <w:left w:w="108" w:type="dxa"/>
              <w:bottom w:w="0" w:type="dxa"/>
              <w:right w:w="108" w:type="dxa"/>
            </w:tcMar>
          </w:tcPr>
          <w:p w:rsidR="00081957" w:rsidRDefault="00750393" w:rsidP="00750393">
            <w:pPr>
              <w:jc w:val="center"/>
              <w:rPr>
                <w:rFonts w:ascii="Calibri" w:eastAsia="Calibri" w:hAnsi="Calibri"/>
                <w:color w:val="000000"/>
                <w:sz w:val="16"/>
                <w:szCs w:val="16"/>
              </w:rPr>
            </w:pPr>
            <w:r w:rsidRPr="00750393">
              <w:rPr>
                <w:rFonts w:ascii="Calibri" w:eastAsia="Calibri" w:hAnsi="Calibri"/>
                <w:color w:val="000000"/>
                <w:sz w:val="16"/>
                <w:szCs w:val="16"/>
              </w:rPr>
              <w:t>None</w:t>
            </w:r>
          </w:p>
          <w:p w:rsidR="00750393" w:rsidRDefault="00750393" w:rsidP="00750393">
            <w:pPr>
              <w:jc w:val="center"/>
              <w:rPr>
                <w:rFonts w:ascii="Calibri" w:eastAsia="Calibri" w:hAnsi="Calibri"/>
                <w:color w:val="000000"/>
                <w:sz w:val="16"/>
                <w:szCs w:val="16"/>
              </w:rPr>
            </w:pPr>
          </w:p>
          <w:p w:rsidR="00750393" w:rsidRPr="00750393" w:rsidRDefault="00750393" w:rsidP="00750393">
            <w:pPr>
              <w:jc w:val="center"/>
              <w:rPr>
                <w:rFonts w:ascii="Calibri" w:eastAsia="Calibri" w:hAnsi="Calibri"/>
                <w:color w:val="000000"/>
                <w:sz w:val="16"/>
                <w:szCs w:val="16"/>
              </w:rPr>
            </w:pPr>
            <w:r>
              <w:rPr>
                <w:rFonts w:ascii="Calibri" w:eastAsia="Calibri" w:hAnsi="Calibri"/>
                <w:color w:val="000000"/>
                <w:sz w:val="16"/>
                <w:szCs w:val="16"/>
              </w:rPr>
              <w:t>None</w:t>
            </w:r>
          </w:p>
        </w:tc>
        <w:tc>
          <w:tcPr>
            <w:tcW w:w="765" w:type="pct"/>
            <w:tcBorders>
              <w:top w:val="single" w:sz="8" w:space="0" w:color="000000"/>
              <w:bottom w:val="single" w:sz="8" w:space="0" w:color="000000"/>
            </w:tcBorders>
            <w:tcMar>
              <w:top w:w="0" w:type="dxa"/>
              <w:left w:w="108" w:type="dxa"/>
              <w:bottom w:w="0" w:type="dxa"/>
              <w:right w:w="108" w:type="dxa"/>
            </w:tcMar>
          </w:tcPr>
          <w:p w:rsidR="00081957" w:rsidRDefault="00750393" w:rsidP="00E1757B">
            <w:pPr>
              <w:rPr>
                <w:rFonts w:ascii="Calibri" w:eastAsia="Calibri" w:hAnsi="Calibri"/>
                <w:color w:val="000000"/>
                <w:sz w:val="16"/>
                <w:szCs w:val="16"/>
              </w:rPr>
            </w:pPr>
            <w:r>
              <w:rPr>
                <w:rFonts w:ascii="Calibri" w:eastAsia="Calibri" w:hAnsi="Calibri"/>
                <w:color w:val="000000"/>
                <w:sz w:val="16"/>
                <w:szCs w:val="16"/>
              </w:rPr>
              <w:t>None</w:t>
            </w:r>
          </w:p>
          <w:p w:rsidR="00750393" w:rsidRDefault="00750393" w:rsidP="00E1757B">
            <w:pPr>
              <w:rPr>
                <w:rFonts w:ascii="Calibri" w:eastAsia="Calibri" w:hAnsi="Calibri"/>
                <w:color w:val="000000"/>
                <w:sz w:val="16"/>
                <w:szCs w:val="16"/>
              </w:rPr>
            </w:pPr>
          </w:p>
          <w:p w:rsidR="00750393" w:rsidRPr="00BB2845" w:rsidRDefault="00750393" w:rsidP="00E1757B">
            <w:pPr>
              <w:rPr>
                <w:rFonts w:ascii="Calibri" w:eastAsia="Calibri" w:hAnsi="Calibri"/>
                <w:color w:val="000000"/>
                <w:sz w:val="16"/>
                <w:szCs w:val="16"/>
              </w:rPr>
            </w:pPr>
            <w:r>
              <w:rPr>
                <w:rFonts w:ascii="Calibri" w:eastAsia="Calibri" w:hAnsi="Calibri"/>
                <w:color w:val="000000"/>
                <w:sz w:val="16"/>
                <w:szCs w:val="16"/>
              </w:rPr>
              <w:t>None</w:t>
            </w:r>
          </w:p>
        </w:tc>
        <w:tc>
          <w:tcPr>
            <w:tcW w:w="1105" w:type="pct"/>
            <w:tcBorders>
              <w:top w:val="single" w:sz="8" w:space="0" w:color="000000"/>
              <w:bottom w:val="single" w:sz="8" w:space="0" w:color="000000"/>
            </w:tcBorders>
            <w:tcMar>
              <w:top w:w="0" w:type="dxa"/>
              <w:left w:w="108" w:type="dxa"/>
              <w:bottom w:w="0" w:type="dxa"/>
              <w:right w:w="108" w:type="dxa"/>
            </w:tcMar>
          </w:tcPr>
          <w:p w:rsidR="00750393" w:rsidRDefault="00750393" w:rsidP="00750393">
            <w:pPr>
              <w:rPr>
                <w:rFonts w:asciiTheme="minorHAnsi" w:hAnsiTheme="minorHAnsi"/>
                <w:sz w:val="16"/>
                <w:szCs w:val="16"/>
              </w:rPr>
            </w:pPr>
            <w:r w:rsidRPr="00750393">
              <w:rPr>
                <w:rFonts w:asciiTheme="minorHAnsi" w:hAnsiTheme="minorHAnsi"/>
                <w:sz w:val="16"/>
                <w:szCs w:val="16"/>
              </w:rPr>
              <w:t>Fluticasone/salmeterol</w:t>
            </w:r>
          </w:p>
          <w:p w:rsidR="00750393" w:rsidRDefault="00750393" w:rsidP="00750393">
            <w:pPr>
              <w:rPr>
                <w:rFonts w:asciiTheme="minorHAnsi" w:hAnsiTheme="minorHAnsi"/>
                <w:sz w:val="16"/>
                <w:szCs w:val="16"/>
              </w:rPr>
            </w:pPr>
          </w:p>
          <w:p w:rsidR="00750393" w:rsidRPr="00750393" w:rsidRDefault="00750393" w:rsidP="00750393">
            <w:pPr>
              <w:rPr>
                <w:rFonts w:asciiTheme="minorHAnsi" w:hAnsiTheme="minorHAnsi"/>
                <w:sz w:val="16"/>
                <w:szCs w:val="16"/>
              </w:rPr>
            </w:pPr>
            <w:r>
              <w:rPr>
                <w:rFonts w:asciiTheme="minorHAnsi" w:hAnsiTheme="minorHAnsi"/>
                <w:sz w:val="16"/>
                <w:szCs w:val="16"/>
              </w:rPr>
              <w:t>None</w:t>
            </w:r>
          </w:p>
          <w:p w:rsidR="00081957" w:rsidRPr="00BB2845" w:rsidRDefault="00081957" w:rsidP="00E1757B">
            <w:pPr>
              <w:rPr>
                <w:rFonts w:ascii="Calibri" w:eastAsia="Calibri" w:hAnsi="Calibri"/>
                <w:sz w:val="16"/>
                <w:szCs w:val="16"/>
              </w:rPr>
            </w:pPr>
          </w:p>
        </w:tc>
      </w:tr>
    </w:tbl>
    <w:p w:rsidR="00081957" w:rsidRDefault="00081957">
      <w:pPr>
        <w:rPr>
          <w:b/>
          <w:sz w:val="22"/>
          <w:szCs w:val="22"/>
          <w:u w:val="single"/>
        </w:rPr>
      </w:pPr>
    </w:p>
    <w:p w:rsidR="00081957" w:rsidRDefault="00081957">
      <w:pPr>
        <w:rPr>
          <w:b/>
          <w:sz w:val="22"/>
          <w:szCs w:val="22"/>
          <w:u w:val="single"/>
        </w:rPr>
      </w:pPr>
    </w:p>
    <w:p w:rsidR="00081957" w:rsidRDefault="00081957">
      <w:pPr>
        <w:rPr>
          <w:b/>
          <w:sz w:val="22"/>
          <w:szCs w:val="22"/>
          <w:u w:val="single"/>
        </w:rPr>
      </w:pPr>
    </w:p>
    <w:p w:rsidR="00081957" w:rsidRDefault="00081957">
      <w:pPr>
        <w:rPr>
          <w:b/>
          <w:sz w:val="22"/>
          <w:szCs w:val="22"/>
          <w:u w:val="single"/>
        </w:rPr>
      </w:pPr>
    </w:p>
    <w:p w:rsidR="00081957" w:rsidRDefault="00081957">
      <w:pPr>
        <w:rPr>
          <w:b/>
          <w:sz w:val="22"/>
          <w:szCs w:val="22"/>
          <w:u w:val="single"/>
        </w:rPr>
      </w:pPr>
    </w:p>
    <w:p w:rsidR="00407BAE" w:rsidRDefault="00407BAE">
      <w:pPr>
        <w:rPr>
          <w:b/>
          <w:sz w:val="22"/>
          <w:szCs w:val="22"/>
          <w:u w:val="single"/>
        </w:rPr>
      </w:pPr>
    </w:p>
    <w:p w:rsidR="00407BAE" w:rsidRDefault="00407BAE">
      <w:pPr>
        <w:rPr>
          <w:b/>
          <w:sz w:val="22"/>
          <w:szCs w:val="22"/>
          <w:u w:val="single"/>
        </w:rPr>
      </w:pPr>
    </w:p>
    <w:p w:rsidR="000A3F76" w:rsidRPr="000B7AE0" w:rsidRDefault="000A3F76">
      <w:pPr>
        <w:rPr>
          <w:b/>
          <w:sz w:val="22"/>
          <w:szCs w:val="22"/>
          <w:u w:val="single"/>
        </w:rPr>
      </w:pPr>
      <w:r w:rsidRPr="000B7AE0">
        <w:rPr>
          <w:b/>
          <w:sz w:val="22"/>
          <w:szCs w:val="22"/>
          <w:u w:val="single"/>
        </w:rPr>
        <w:lastRenderedPageBreak/>
        <w:t>Drug Interactions</w:t>
      </w:r>
    </w:p>
    <w:p w:rsidR="008271E8" w:rsidRPr="007337E1" w:rsidRDefault="008271E8" w:rsidP="007337E1">
      <w:pPr>
        <w:pStyle w:val="ListParagraph"/>
        <w:numPr>
          <w:ilvl w:val="0"/>
          <w:numId w:val="8"/>
        </w:numPr>
        <w:ind w:left="360"/>
        <w:rPr>
          <w:sz w:val="20"/>
          <w:szCs w:val="20"/>
        </w:rPr>
      </w:pPr>
      <w:r w:rsidRPr="007337E1">
        <w:rPr>
          <w:sz w:val="20"/>
          <w:szCs w:val="20"/>
        </w:rPr>
        <w:t xml:space="preserve">Both fluticasone and vilanterol are substrates of CYP3A4.  Concomitant administration of ketoconazole (potent CYP3A4 inhibitor) increases systemic exposure to fluticasone and vilanterol.  Exercise caution when considering </w:t>
      </w:r>
      <w:proofErr w:type="spellStart"/>
      <w:r w:rsidRPr="007337E1">
        <w:rPr>
          <w:sz w:val="20"/>
          <w:szCs w:val="20"/>
        </w:rPr>
        <w:t>coadministration</w:t>
      </w:r>
      <w:proofErr w:type="spellEnd"/>
      <w:r w:rsidRPr="007337E1">
        <w:rPr>
          <w:sz w:val="20"/>
          <w:szCs w:val="20"/>
        </w:rPr>
        <w:t xml:space="preserve"> of FF/VI with ketoconazole or other strong CYP3A4 inhibitors (e.g., ritonavir, clarithromycin, conivaptan, indinavir, itraconazole, lopinavir, nefazodone, nelfinavir, saquinavir, telithromycin, troleandomycin, voriconazole)</w:t>
      </w:r>
    </w:p>
    <w:p w:rsidR="008271E8" w:rsidRDefault="008271E8" w:rsidP="007337E1">
      <w:pPr>
        <w:rPr>
          <w:sz w:val="20"/>
          <w:szCs w:val="20"/>
        </w:rPr>
      </w:pPr>
    </w:p>
    <w:p w:rsidR="008271E8" w:rsidRPr="007337E1" w:rsidRDefault="008271E8" w:rsidP="007337E1">
      <w:pPr>
        <w:pStyle w:val="ListParagraph"/>
        <w:numPr>
          <w:ilvl w:val="0"/>
          <w:numId w:val="8"/>
        </w:numPr>
        <w:ind w:left="360"/>
        <w:rPr>
          <w:sz w:val="20"/>
          <w:szCs w:val="20"/>
        </w:rPr>
      </w:pPr>
      <w:r w:rsidRPr="007337E1">
        <w:rPr>
          <w:sz w:val="20"/>
          <w:szCs w:val="20"/>
        </w:rPr>
        <w:t xml:space="preserve">Beta2-agonists, including vilanterol, should be administered with extreme caution to patients receiving MAOIs, tricyclic antidepressants, or drugs known to prolong </w:t>
      </w:r>
      <w:proofErr w:type="spellStart"/>
      <w:r w:rsidRPr="007337E1">
        <w:rPr>
          <w:sz w:val="20"/>
          <w:szCs w:val="20"/>
        </w:rPr>
        <w:t>QTc</w:t>
      </w:r>
      <w:proofErr w:type="spellEnd"/>
      <w:r w:rsidRPr="007337E1">
        <w:rPr>
          <w:sz w:val="20"/>
          <w:szCs w:val="20"/>
        </w:rPr>
        <w:t xml:space="preserve"> interval or within 2 weeks of discontinuation of such drugs.  The effect of beta-agonists on the cardiovascular system may be potentiated by these agents.  Drugs that prolong the </w:t>
      </w:r>
      <w:proofErr w:type="spellStart"/>
      <w:r w:rsidRPr="007337E1">
        <w:rPr>
          <w:sz w:val="20"/>
          <w:szCs w:val="20"/>
        </w:rPr>
        <w:t>QTc</w:t>
      </w:r>
      <w:proofErr w:type="spellEnd"/>
      <w:r w:rsidRPr="007337E1">
        <w:rPr>
          <w:sz w:val="20"/>
          <w:szCs w:val="20"/>
        </w:rPr>
        <w:t xml:space="preserve"> interval have an increased risk of ventricular arrhythmias.</w:t>
      </w:r>
    </w:p>
    <w:p w:rsidR="008271E8" w:rsidRDefault="008271E8" w:rsidP="007337E1">
      <w:pPr>
        <w:rPr>
          <w:sz w:val="20"/>
          <w:szCs w:val="20"/>
        </w:rPr>
      </w:pPr>
    </w:p>
    <w:p w:rsidR="008271E8" w:rsidRPr="007337E1" w:rsidRDefault="008271E8" w:rsidP="007337E1">
      <w:pPr>
        <w:pStyle w:val="ListParagraph"/>
        <w:numPr>
          <w:ilvl w:val="0"/>
          <w:numId w:val="8"/>
        </w:numPr>
        <w:ind w:left="360"/>
        <w:rPr>
          <w:sz w:val="20"/>
          <w:szCs w:val="20"/>
        </w:rPr>
      </w:pPr>
      <w:r w:rsidRPr="007337E1">
        <w:rPr>
          <w:sz w:val="20"/>
          <w:szCs w:val="20"/>
        </w:rPr>
        <w:t xml:space="preserve">Beta blockers can block the pulmonary effects of beta agonists and may produce severe bronchospasm in </w:t>
      </w:r>
      <w:r w:rsidR="001F17F5" w:rsidRPr="007337E1">
        <w:rPr>
          <w:sz w:val="20"/>
          <w:szCs w:val="20"/>
        </w:rPr>
        <w:t>patients</w:t>
      </w:r>
      <w:r w:rsidRPr="007337E1">
        <w:rPr>
          <w:sz w:val="20"/>
          <w:szCs w:val="20"/>
        </w:rPr>
        <w:t xml:space="preserve"> with reversible obstructive airway disease.  Therefore, patients with COPD should not normally be treated with beta</w:t>
      </w:r>
      <w:r w:rsidR="001F17F5" w:rsidRPr="007337E1">
        <w:rPr>
          <w:sz w:val="20"/>
          <w:szCs w:val="20"/>
        </w:rPr>
        <w:t>-</w:t>
      </w:r>
      <w:r w:rsidRPr="007337E1">
        <w:rPr>
          <w:sz w:val="20"/>
          <w:szCs w:val="20"/>
        </w:rPr>
        <w:t xml:space="preserve"> blockers.  If there are no acceptable </w:t>
      </w:r>
      <w:r w:rsidR="001F17F5" w:rsidRPr="007337E1">
        <w:rPr>
          <w:sz w:val="20"/>
          <w:szCs w:val="20"/>
        </w:rPr>
        <w:t>alternatives to the use of beta-</w:t>
      </w:r>
      <w:r w:rsidRPr="007337E1">
        <w:rPr>
          <w:sz w:val="20"/>
          <w:szCs w:val="20"/>
        </w:rPr>
        <w:t>blockers</w:t>
      </w:r>
      <w:r w:rsidR="001F17F5" w:rsidRPr="007337E1">
        <w:rPr>
          <w:sz w:val="20"/>
          <w:szCs w:val="20"/>
        </w:rPr>
        <w:t xml:space="preserve"> for these patients, </w:t>
      </w:r>
      <w:proofErr w:type="spellStart"/>
      <w:r w:rsidR="001F17F5" w:rsidRPr="007337E1">
        <w:rPr>
          <w:sz w:val="20"/>
          <w:szCs w:val="20"/>
        </w:rPr>
        <w:t>cardioselective</w:t>
      </w:r>
      <w:proofErr w:type="spellEnd"/>
      <w:r w:rsidR="001F17F5" w:rsidRPr="007337E1">
        <w:rPr>
          <w:sz w:val="20"/>
          <w:szCs w:val="20"/>
        </w:rPr>
        <w:t xml:space="preserve"> beta-blockers could be considered and used with caution.</w:t>
      </w:r>
    </w:p>
    <w:p w:rsidR="007337E1" w:rsidRDefault="007337E1" w:rsidP="007337E1">
      <w:pPr>
        <w:rPr>
          <w:sz w:val="20"/>
          <w:szCs w:val="20"/>
        </w:rPr>
      </w:pPr>
    </w:p>
    <w:p w:rsidR="007337E1" w:rsidRPr="007337E1" w:rsidRDefault="007337E1" w:rsidP="007337E1">
      <w:pPr>
        <w:pStyle w:val="ListParagraph"/>
        <w:numPr>
          <w:ilvl w:val="0"/>
          <w:numId w:val="8"/>
        </w:numPr>
        <w:ind w:left="360"/>
        <w:rPr>
          <w:sz w:val="20"/>
          <w:szCs w:val="20"/>
        </w:rPr>
      </w:pPr>
      <w:r w:rsidRPr="007337E1">
        <w:rPr>
          <w:sz w:val="20"/>
          <w:szCs w:val="20"/>
        </w:rPr>
        <w:t xml:space="preserve">The use of beta-agonists can acutely worsen hypokalemia that may occur with non-potassium-sparing diuretics.  Although the clinical significance of these effects </w:t>
      </w:r>
      <w:r w:rsidR="001C6F5C" w:rsidRPr="007337E1">
        <w:rPr>
          <w:sz w:val="20"/>
          <w:szCs w:val="20"/>
        </w:rPr>
        <w:t>is</w:t>
      </w:r>
      <w:r w:rsidRPr="007337E1">
        <w:rPr>
          <w:sz w:val="20"/>
          <w:szCs w:val="20"/>
        </w:rPr>
        <w:t xml:space="preserve"> not know</w:t>
      </w:r>
      <w:r w:rsidR="001C6F5C">
        <w:rPr>
          <w:sz w:val="20"/>
          <w:szCs w:val="20"/>
        </w:rPr>
        <w:t xml:space="preserve">n, caution should be used in </w:t>
      </w:r>
      <w:proofErr w:type="spellStart"/>
      <w:r w:rsidR="001C6F5C">
        <w:rPr>
          <w:sz w:val="20"/>
          <w:szCs w:val="20"/>
        </w:rPr>
        <w:t>co</w:t>
      </w:r>
      <w:r w:rsidRPr="007337E1">
        <w:rPr>
          <w:sz w:val="20"/>
          <w:szCs w:val="20"/>
        </w:rPr>
        <w:t>dministration</w:t>
      </w:r>
      <w:proofErr w:type="spellEnd"/>
      <w:r w:rsidRPr="007337E1">
        <w:rPr>
          <w:sz w:val="20"/>
          <w:szCs w:val="20"/>
        </w:rPr>
        <w:t xml:space="preserve"> of these agents.</w:t>
      </w:r>
    </w:p>
    <w:p w:rsidR="00955916" w:rsidRDefault="00955916">
      <w:pPr>
        <w:rPr>
          <w:b/>
          <w:sz w:val="22"/>
          <w:szCs w:val="22"/>
          <w:u w:val="single"/>
        </w:rPr>
      </w:pPr>
    </w:p>
    <w:p w:rsidR="000A3F76" w:rsidRPr="00955916" w:rsidRDefault="000A3F76">
      <w:pPr>
        <w:rPr>
          <w:b/>
          <w:sz w:val="22"/>
          <w:szCs w:val="22"/>
          <w:u w:val="single"/>
        </w:rPr>
      </w:pPr>
      <w:r w:rsidRPr="00955916">
        <w:rPr>
          <w:b/>
          <w:sz w:val="22"/>
          <w:szCs w:val="22"/>
          <w:u w:val="single"/>
        </w:rPr>
        <w:t>Comparative Cost</w:t>
      </w:r>
    </w:p>
    <w:p w:rsidR="0061172C" w:rsidRPr="00897036" w:rsidRDefault="003E3809" w:rsidP="0061172C">
      <w:pPr>
        <w:rPr>
          <w:sz w:val="20"/>
          <w:szCs w:val="20"/>
        </w:rPr>
      </w:pPr>
      <w:r w:rsidRPr="00FD7B7E">
        <w:rPr>
          <w:sz w:val="20"/>
          <w:szCs w:val="20"/>
        </w:rPr>
        <w:t xml:space="preserve">Please </w:t>
      </w:r>
      <w:r w:rsidR="0061172C">
        <w:rPr>
          <w:sz w:val="20"/>
          <w:szCs w:val="20"/>
        </w:rPr>
        <w:t>r</w:t>
      </w:r>
      <w:r w:rsidR="0061172C" w:rsidRPr="00897036">
        <w:rPr>
          <w:sz w:val="20"/>
          <w:szCs w:val="20"/>
        </w:rPr>
        <w:t>efer to VA pricing sources for updated information.</w:t>
      </w:r>
    </w:p>
    <w:p w:rsidR="008C1A81" w:rsidRPr="008C1A81" w:rsidRDefault="008C1A81" w:rsidP="008C1A81">
      <w:pPr>
        <w:contextualSpacing/>
        <w:rPr>
          <w:sz w:val="20"/>
          <w:szCs w:val="20"/>
        </w:rPr>
      </w:pPr>
    </w:p>
    <w:p w:rsidR="00C51D13" w:rsidRDefault="000A3F76">
      <w:pPr>
        <w:rPr>
          <w:b/>
          <w:sz w:val="22"/>
          <w:szCs w:val="22"/>
          <w:u w:val="single"/>
        </w:rPr>
      </w:pPr>
      <w:r w:rsidRPr="00146965">
        <w:rPr>
          <w:b/>
          <w:sz w:val="22"/>
          <w:szCs w:val="22"/>
          <w:u w:val="single"/>
        </w:rPr>
        <w:t>Conclusions</w:t>
      </w:r>
    </w:p>
    <w:p w:rsidR="002B36EA" w:rsidRPr="00586650" w:rsidRDefault="00586650">
      <w:pPr>
        <w:rPr>
          <w:sz w:val="20"/>
          <w:szCs w:val="20"/>
        </w:rPr>
      </w:pPr>
      <w:r w:rsidRPr="00586650">
        <w:rPr>
          <w:sz w:val="20"/>
          <w:szCs w:val="20"/>
        </w:rPr>
        <w:t>Fluticasone furoate/vilanterol is the first once daily ICS/LABA.  It is currently approved for use in COPD</w:t>
      </w:r>
      <w:r>
        <w:rPr>
          <w:sz w:val="20"/>
          <w:szCs w:val="20"/>
        </w:rPr>
        <w:t xml:space="preserve">.  </w:t>
      </w:r>
      <w:r w:rsidR="007710A5">
        <w:rPr>
          <w:sz w:val="20"/>
          <w:szCs w:val="20"/>
        </w:rPr>
        <w:t xml:space="preserve">It has been shown to improve pulmonary function and modestly reduce the risk of moderate-severe exacerbations </w:t>
      </w:r>
      <w:r w:rsidR="00146965">
        <w:rPr>
          <w:sz w:val="20"/>
          <w:szCs w:val="20"/>
        </w:rPr>
        <w:t>for patients with a post-bronchodilator FEV1 ≤ 70% (mean 45%) and who have had ≥ 1 moderate/severe exacerbation in the prior year.  At this time there is only one 12-week trial comparing FF/VI to fluticasone/salmeterol.  Longer term comparative trials are needed to determine if there are differences in efficacy and safety among agents in the ICS/LABA class.</w:t>
      </w:r>
    </w:p>
    <w:p w:rsidR="00146965" w:rsidRDefault="00146965">
      <w:pPr>
        <w:rPr>
          <w:b/>
          <w:sz w:val="22"/>
          <w:szCs w:val="22"/>
          <w:u w:val="single"/>
        </w:rPr>
      </w:pPr>
    </w:p>
    <w:p w:rsidR="000A3F76" w:rsidRPr="003430F7" w:rsidRDefault="000A3F76">
      <w:pPr>
        <w:rPr>
          <w:b/>
          <w:sz w:val="22"/>
          <w:szCs w:val="22"/>
          <w:u w:val="single"/>
        </w:rPr>
      </w:pPr>
      <w:r w:rsidRPr="003430F7">
        <w:rPr>
          <w:b/>
          <w:sz w:val="22"/>
          <w:szCs w:val="22"/>
          <w:u w:val="single"/>
        </w:rPr>
        <w:t>References</w:t>
      </w:r>
    </w:p>
    <w:p w:rsidR="00CC7F5B" w:rsidRDefault="00CD1D70" w:rsidP="00D52901">
      <w:pPr>
        <w:pStyle w:val="NoSpacing"/>
        <w:rPr>
          <w:sz w:val="20"/>
          <w:szCs w:val="20"/>
        </w:rPr>
      </w:pPr>
      <w:proofErr w:type="spellStart"/>
      <w:proofErr w:type="gramStart"/>
      <w:r>
        <w:rPr>
          <w:sz w:val="20"/>
          <w:szCs w:val="20"/>
        </w:rPr>
        <w:t>Kerwin</w:t>
      </w:r>
      <w:proofErr w:type="spellEnd"/>
      <w:r>
        <w:rPr>
          <w:sz w:val="20"/>
          <w:szCs w:val="20"/>
        </w:rPr>
        <w:t xml:space="preserve"> EM, Scott-Wilson, Sanford L, et al.</w:t>
      </w:r>
      <w:proofErr w:type="gramEnd"/>
      <w:r>
        <w:rPr>
          <w:sz w:val="20"/>
          <w:szCs w:val="20"/>
        </w:rPr>
        <w:t xml:space="preserve">  A randomized trials of fluticasone furoate/vilanterol (50/25mcg; 100/25 </w:t>
      </w:r>
    </w:p>
    <w:p w:rsidR="002D2E29" w:rsidRDefault="00CD1D70" w:rsidP="00D52901">
      <w:pPr>
        <w:pStyle w:val="NoSpacing"/>
        <w:rPr>
          <w:sz w:val="20"/>
          <w:szCs w:val="20"/>
        </w:rPr>
      </w:pPr>
      <w:proofErr w:type="gramStart"/>
      <w:r>
        <w:rPr>
          <w:sz w:val="20"/>
          <w:szCs w:val="20"/>
        </w:rPr>
        <w:t>mcg</w:t>
      </w:r>
      <w:proofErr w:type="gramEnd"/>
      <w:r>
        <w:rPr>
          <w:sz w:val="20"/>
          <w:szCs w:val="20"/>
        </w:rPr>
        <w:t xml:space="preserve"> on lung function in COPD.  </w:t>
      </w:r>
      <w:proofErr w:type="spellStart"/>
      <w:r>
        <w:rPr>
          <w:sz w:val="20"/>
          <w:szCs w:val="20"/>
        </w:rPr>
        <w:t>Resp</w:t>
      </w:r>
      <w:proofErr w:type="spellEnd"/>
      <w:r>
        <w:rPr>
          <w:sz w:val="20"/>
          <w:szCs w:val="20"/>
        </w:rPr>
        <w:t xml:space="preserve"> Med 2013; 107: 560-569.</w:t>
      </w:r>
    </w:p>
    <w:p w:rsidR="00CD1D70" w:rsidRDefault="00CD1D70" w:rsidP="00D52901">
      <w:pPr>
        <w:pStyle w:val="NoSpacing"/>
        <w:rPr>
          <w:sz w:val="20"/>
          <w:szCs w:val="20"/>
        </w:rPr>
      </w:pPr>
    </w:p>
    <w:p w:rsidR="00CD1D70" w:rsidRDefault="00CD1D70" w:rsidP="00D52901">
      <w:pPr>
        <w:pStyle w:val="NoSpacing"/>
        <w:rPr>
          <w:sz w:val="20"/>
          <w:szCs w:val="20"/>
        </w:rPr>
      </w:pPr>
      <w:proofErr w:type="gramStart"/>
      <w:r>
        <w:rPr>
          <w:sz w:val="20"/>
          <w:szCs w:val="20"/>
        </w:rPr>
        <w:t xml:space="preserve">Martinez FJ, </w:t>
      </w:r>
      <w:proofErr w:type="spellStart"/>
      <w:r>
        <w:rPr>
          <w:sz w:val="20"/>
          <w:szCs w:val="20"/>
        </w:rPr>
        <w:t>Boscia</w:t>
      </w:r>
      <w:proofErr w:type="spellEnd"/>
      <w:r>
        <w:rPr>
          <w:sz w:val="20"/>
          <w:szCs w:val="20"/>
        </w:rPr>
        <w:t xml:space="preserve"> J, Feldman G, et al.</w:t>
      </w:r>
      <w:proofErr w:type="gramEnd"/>
      <w:r>
        <w:rPr>
          <w:sz w:val="20"/>
          <w:szCs w:val="20"/>
        </w:rPr>
        <w:t xml:space="preserve">  Fluticasone furoate/vilanterol (100/25; 200/25mcg) improves lung function in COPD; a randomized trial.  </w:t>
      </w:r>
      <w:proofErr w:type="spellStart"/>
      <w:r>
        <w:rPr>
          <w:sz w:val="20"/>
          <w:szCs w:val="20"/>
        </w:rPr>
        <w:t>Resp</w:t>
      </w:r>
      <w:proofErr w:type="spellEnd"/>
      <w:r>
        <w:rPr>
          <w:sz w:val="20"/>
          <w:szCs w:val="20"/>
        </w:rPr>
        <w:t xml:space="preserve"> Med 2013; 107: 550-559.</w:t>
      </w:r>
    </w:p>
    <w:p w:rsidR="003C1468" w:rsidRDefault="003C1468" w:rsidP="00D52901">
      <w:pPr>
        <w:pStyle w:val="NoSpacing"/>
        <w:rPr>
          <w:sz w:val="20"/>
          <w:szCs w:val="20"/>
        </w:rPr>
      </w:pPr>
    </w:p>
    <w:p w:rsidR="003C1468" w:rsidRPr="00CD1D70" w:rsidRDefault="003C1468" w:rsidP="00D52901">
      <w:pPr>
        <w:pStyle w:val="NoSpacing"/>
        <w:rPr>
          <w:sz w:val="20"/>
          <w:szCs w:val="20"/>
        </w:rPr>
      </w:pPr>
      <w:proofErr w:type="spellStart"/>
      <w:proofErr w:type="gramStart"/>
      <w:r>
        <w:rPr>
          <w:sz w:val="20"/>
          <w:szCs w:val="20"/>
        </w:rPr>
        <w:t>Vestbo</w:t>
      </w:r>
      <w:proofErr w:type="spellEnd"/>
      <w:r>
        <w:rPr>
          <w:sz w:val="20"/>
          <w:szCs w:val="20"/>
        </w:rPr>
        <w:t xml:space="preserve"> J, Anderson J, Brook RD, et al.</w:t>
      </w:r>
      <w:proofErr w:type="gramEnd"/>
      <w:r>
        <w:rPr>
          <w:sz w:val="20"/>
          <w:szCs w:val="20"/>
        </w:rPr>
        <w:t xml:space="preserve">  The study to understand mortality and morbidity in COPD (SUMMIT) study protocol.  </w:t>
      </w:r>
      <w:proofErr w:type="spellStart"/>
      <w:r>
        <w:rPr>
          <w:sz w:val="20"/>
          <w:szCs w:val="20"/>
        </w:rPr>
        <w:t>Eur</w:t>
      </w:r>
      <w:proofErr w:type="spellEnd"/>
      <w:r>
        <w:rPr>
          <w:sz w:val="20"/>
          <w:szCs w:val="20"/>
        </w:rPr>
        <w:t xml:space="preserve"> </w:t>
      </w:r>
      <w:proofErr w:type="spellStart"/>
      <w:r>
        <w:rPr>
          <w:sz w:val="20"/>
          <w:szCs w:val="20"/>
        </w:rPr>
        <w:t>Respir</w:t>
      </w:r>
      <w:proofErr w:type="spellEnd"/>
      <w:r>
        <w:rPr>
          <w:sz w:val="20"/>
          <w:szCs w:val="20"/>
        </w:rPr>
        <w:t xml:space="preserve"> J 2013; 4</w:t>
      </w:r>
      <w:r w:rsidR="00492609">
        <w:rPr>
          <w:sz w:val="20"/>
          <w:szCs w:val="20"/>
        </w:rPr>
        <w:t>1 (5):</w:t>
      </w:r>
      <w:r>
        <w:rPr>
          <w:sz w:val="20"/>
          <w:szCs w:val="20"/>
        </w:rPr>
        <w:t>1017-22.</w:t>
      </w:r>
    </w:p>
    <w:p w:rsidR="003E3809" w:rsidRDefault="003E3809" w:rsidP="00D52901">
      <w:pPr>
        <w:pStyle w:val="NoSpacing"/>
        <w:rPr>
          <w:rFonts w:asciiTheme="minorHAnsi" w:hAnsiTheme="minorHAnsi"/>
          <w:sz w:val="20"/>
          <w:szCs w:val="20"/>
        </w:rPr>
      </w:pPr>
    </w:p>
    <w:p w:rsidR="003E3809" w:rsidRDefault="00586650" w:rsidP="00D52901">
      <w:pPr>
        <w:pStyle w:val="NoSpacing"/>
        <w:rPr>
          <w:rStyle w:val="Hyperlink"/>
          <w:rFonts w:asciiTheme="minorHAnsi" w:hAnsiTheme="minorHAnsi"/>
          <w:sz w:val="20"/>
          <w:szCs w:val="20"/>
        </w:rPr>
      </w:pPr>
      <w:r w:rsidRPr="00586650">
        <w:rPr>
          <w:sz w:val="20"/>
          <w:szCs w:val="20"/>
        </w:rPr>
        <w:t>FDA Advisory Committee Meeting Materials</w:t>
      </w:r>
      <w:r>
        <w:rPr>
          <w:sz w:val="20"/>
          <w:szCs w:val="20"/>
        </w:rPr>
        <w:t xml:space="preserve">   </w:t>
      </w:r>
      <w:hyperlink r:id="rId10" w:history="1">
        <w:r w:rsidR="003E3809" w:rsidRPr="00C72EAC">
          <w:rPr>
            <w:rStyle w:val="Hyperlink"/>
            <w:rFonts w:asciiTheme="minorHAnsi" w:hAnsiTheme="minorHAnsi"/>
            <w:sz w:val="20"/>
            <w:szCs w:val="20"/>
          </w:rPr>
          <w:t>http://www.fda.gov/downloads/AdvisoryCommittees/CommitteesMeetingMaterials/Drugs/Pulmonary-AllergyDrugsAdvisoryCommittee/UCM347931.pdf</w:t>
        </w:r>
      </w:hyperlink>
    </w:p>
    <w:p w:rsidR="000E3963" w:rsidRDefault="000E3963" w:rsidP="00D52901">
      <w:pPr>
        <w:pStyle w:val="NoSpacing"/>
        <w:rPr>
          <w:rStyle w:val="Hyperlink"/>
          <w:rFonts w:asciiTheme="minorHAnsi" w:hAnsiTheme="minorHAnsi"/>
          <w:sz w:val="20"/>
          <w:szCs w:val="20"/>
        </w:rPr>
      </w:pPr>
    </w:p>
    <w:p w:rsidR="000E3963" w:rsidRPr="000E3963" w:rsidRDefault="000E3963" w:rsidP="000E3963">
      <w:pPr>
        <w:pStyle w:val="NoSpacing"/>
        <w:rPr>
          <w:sz w:val="20"/>
          <w:szCs w:val="20"/>
        </w:rPr>
      </w:pPr>
      <w:r w:rsidRPr="000E3963">
        <w:rPr>
          <w:sz w:val="20"/>
          <w:szCs w:val="20"/>
        </w:rPr>
        <w:t xml:space="preserve">Allen A, </w:t>
      </w:r>
      <w:proofErr w:type="spellStart"/>
      <w:r w:rsidRPr="000E3963">
        <w:rPr>
          <w:sz w:val="20"/>
          <w:szCs w:val="20"/>
        </w:rPr>
        <w:t>Schenkenberger</w:t>
      </w:r>
      <w:proofErr w:type="spellEnd"/>
      <w:r w:rsidRPr="000E3963">
        <w:rPr>
          <w:sz w:val="20"/>
          <w:szCs w:val="20"/>
        </w:rPr>
        <w:t xml:space="preserve"> I, Trivedi R, </w:t>
      </w:r>
      <w:r w:rsidR="00AE4809">
        <w:rPr>
          <w:sz w:val="20"/>
          <w:szCs w:val="20"/>
        </w:rPr>
        <w:t xml:space="preserve">et al.  </w:t>
      </w:r>
      <w:r w:rsidRPr="000E3963">
        <w:rPr>
          <w:sz w:val="20"/>
          <w:szCs w:val="20"/>
        </w:rPr>
        <w:t>Inhaled fluticasone furoate/vilanterol does not affect</w:t>
      </w:r>
    </w:p>
    <w:p w:rsidR="000E3963" w:rsidRDefault="000E3963" w:rsidP="00D52901">
      <w:pPr>
        <w:pStyle w:val="NoSpacing"/>
        <w:rPr>
          <w:sz w:val="20"/>
          <w:szCs w:val="20"/>
        </w:rPr>
      </w:pPr>
      <w:proofErr w:type="gramStart"/>
      <w:r w:rsidRPr="000E3963">
        <w:rPr>
          <w:sz w:val="20"/>
          <w:szCs w:val="20"/>
        </w:rPr>
        <w:t>hypothalamic-pituitary-adrenal</w:t>
      </w:r>
      <w:proofErr w:type="gramEnd"/>
      <w:r w:rsidRPr="000E3963">
        <w:rPr>
          <w:sz w:val="20"/>
          <w:szCs w:val="20"/>
        </w:rPr>
        <w:t xml:space="preserve"> axis function in adolescent and adult asthma:</w:t>
      </w:r>
      <w:r w:rsidR="00AE4809">
        <w:rPr>
          <w:sz w:val="20"/>
          <w:szCs w:val="20"/>
        </w:rPr>
        <w:t xml:space="preserve"> </w:t>
      </w:r>
      <w:proofErr w:type="spellStart"/>
      <w:r w:rsidRPr="000E3963">
        <w:rPr>
          <w:sz w:val="20"/>
          <w:szCs w:val="20"/>
        </w:rPr>
        <w:t>randomised</w:t>
      </w:r>
      <w:proofErr w:type="spellEnd"/>
      <w:r w:rsidRPr="000E3963">
        <w:rPr>
          <w:sz w:val="20"/>
          <w:szCs w:val="20"/>
        </w:rPr>
        <w:t xml:space="preserve">, double-blind, placebo-controlled study. </w:t>
      </w:r>
      <w:proofErr w:type="spellStart"/>
      <w:r w:rsidRPr="000E3963">
        <w:rPr>
          <w:sz w:val="20"/>
          <w:szCs w:val="20"/>
        </w:rPr>
        <w:t>Clin</w:t>
      </w:r>
      <w:proofErr w:type="spellEnd"/>
      <w:r w:rsidRPr="000E3963">
        <w:rPr>
          <w:sz w:val="20"/>
          <w:szCs w:val="20"/>
        </w:rPr>
        <w:t xml:space="preserve"> </w:t>
      </w:r>
      <w:proofErr w:type="spellStart"/>
      <w:r w:rsidRPr="000E3963">
        <w:rPr>
          <w:sz w:val="20"/>
          <w:szCs w:val="20"/>
        </w:rPr>
        <w:t>Respir</w:t>
      </w:r>
      <w:proofErr w:type="spellEnd"/>
      <w:r w:rsidRPr="000E3963">
        <w:rPr>
          <w:sz w:val="20"/>
          <w:szCs w:val="20"/>
        </w:rPr>
        <w:t xml:space="preserve"> J. 2013Oct</w:t>
      </w:r>
      <w:proofErr w:type="gramStart"/>
      <w:r w:rsidRPr="000E3963">
        <w:rPr>
          <w:sz w:val="20"/>
          <w:szCs w:val="20"/>
        </w:rPr>
        <w:t>;7</w:t>
      </w:r>
      <w:proofErr w:type="gramEnd"/>
      <w:r w:rsidRPr="000E3963">
        <w:rPr>
          <w:sz w:val="20"/>
          <w:szCs w:val="20"/>
        </w:rPr>
        <w:t>(4):397-406</w:t>
      </w:r>
      <w:r w:rsidR="00AE4809">
        <w:rPr>
          <w:sz w:val="20"/>
          <w:szCs w:val="20"/>
        </w:rPr>
        <w:t>.</w:t>
      </w:r>
    </w:p>
    <w:p w:rsidR="00A839C9" w:rsidRDefault="00A839C9" w:rsidP="00D52901">
      <w:pPr>
        <w:pStyle w:val="NoSpacing"/>
        <w:rPr>
          <w:sz w:val="20"/>
          <w:szCs w:val="20"/>
        </w:rPr>
      </w:pPr>
    </w:p>
    <w:p w:rsidR="007337E1" w:rsidRDefault="00A839C9" w:rsidP="00407BAE">
      <w:pPr>
        <w:pStyle w:val="NoSpacing"/>
        <w:rPr>
          <w:sz w:val="22"/>
          <w:szCs w:val="22"/>
        </w:rPr>
      </w:pPr>
      <w:proofErr w:type="spellStart"/>
      <w:proofErr w:type="gramStart"/>
      <w:r w:rsidRPr="00A839C9">
        <w:rPr>
          <w:sz w:val="20"/>
          <w:szCs w:val="20"/>
        </w:rPr>
        <w:t>Agustí</w:t>
      </w:r>
      <w:proofErr w:type="spellEnd"/>
      <w:r w:rsidRPr="00A839C9">
        <w:rPr>
          <w:sz w:val="20"/>
          <w:szCs w:val="20"/>
        </w:rPr>
        <w:t xml:space="preserve"> A, de Teresa L, De Backer W, et al.</w:t>
      </w:r>
      <w:proofErr w:type="gramEnd"/>
      <w:r w:rsidRPr="00A839C9">
        <w:rPr>
          <w:sz w:val="20"/>
          <w:szCs w:val="20"/>
        </w:rPr>
        <w:t xml:space="preserve">  </w:t>
      </w:r>
      <w:proofErr w:type="gramStart"/>
      <w:r w:rsidRPr="00A839C9">
        <w:rPr>
          <w:sz w:val="20"/>
          <w:szCs w:val="20"/>
        </w:rPr>
        <w:t>A comparison of the efficacy and safety of once-daily fluticasone furoate/vilanterol with twice-daily fluticasone propionate/salmeterol in moderate to very severe COPD.</w:t>
      </w:r>
      <w:proofErr w:type="gramEnd"/>
      <w:r w:rsidRPr="00A839C9">
        <w:rPr>
          <w:sz w:val="20"/>
          <w:szCs w:val="20"/>
        </w:rPr>
        <w:t xml:space="preserve"> </w:t>
      </w:r>
      <w:proofErr w:type="spellStart"/>
      <w:r w:rsidRPr="00A839C9">
        <w:rPr>
          <w:sz w:val="20"/>
          <w:szCs w:val="20"/>
        </w:rPr>
        <w:t>Eur</w:t>
      </w:r>
      <w:proofErr w:type="spellEnd"/>
      <w:r w:rsidRPr="00A839C9">
        <w:rPr>
          <w:sz w:val="20"/>
          <w:szCs w:val="20"/>
        </w:rPr>
        <w:t xml:space="preserve"> </w:t>
      </w:r>
      <w:proofErr w:type="spellStart"/>
      <w:r w:rsidRPr="00A839C9">
        <w:rPr>
          <w:sz w:val="20"/>
          <w:szCs w:val="20"/>
        </w:rPr>
        <w:t>Respir</w:t>
      </w:r>
      <w:proofErr w:type="spellEnd"/>
      <w:r w:rsidRPr="00A839C9">
        <w:rPr>
          <w:sz w:val="20"/>
          <w:szCs w:val="20"/>
        </w:rPr>
        <w:t xml:space="preserve"> J. 2013 Oct 10. [</w:t>
      </w:r>
      <w:proofErr w:type="spellStart"/>
      <w:r w:rsidRPr="00A839C9">
        <w:rPr>
          <w:sz w:val="20"/>
          <w:szCs w:val="20"/>
        </w:rPr>
        <w:t>Epub</w:t>
      </w:r>
      <w:proofErr w:type="spellEnd"/>
      <w:r w:rsidRPr="00A839C9">
        <w:rPr>
          <w:sz w:val="20"/>
          <w:szCs w:val="20"/>
        </w:rPr>
        <w:t xml:space="preserve"> ahead of print]</w:t>
      </w:r>
      <w:bookmarkStart w:id="0" w:name="_GoBack"/>
      <w:bookmarkEnd w:id="0"/>
    </w:p>
    <w:sectPr w:rsidR="007337E1" w:rsidSect="00A651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55" w:rsidRDefault="007D4755" w:rsidP="000A3F76">
      <w:r>
        <w:separator/>
      </w:r>
    </w:p>
  </w:endnote>
  <w:endnote w:type="continuationSeparator" w:id="0">
    <w:p w:rsidR="007D4755" w:rsidRDefault="007D4755" w:rsidP="000A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55" w:rsidRPr="00384F80" w:rsidRDefault="007D4755" w:rsidP="00384F80">
    <w:pPr>
      <w:pStyle w:val="NoSpacing"/>
      <w:rPr>
        <w:rStyle w:val="Hyperlink"/>
        <w:rFonts w:asciiTheme="minorHAnsi" w:hAnsiTheme="minorHAnsi" w:cs="Arial"/>
        <w:sz w:val="18"/>
        <w:szCs w:val="18"/>
      </w:rPr>
    </w:pPr>
    <w:r w:rsidRPr="00384F80">
      <w:rPr>
        <w:rFonts w:asciiTheme="minorHAnsi" w:hAnsiTheme="minorHAnsi"/>
        <w:sz w:val="18"/>
        <w:szCs w:val="18"/>
      </w:rPr>
      <w:t xml:space="preserve">Updated version may be found at </w:t>
    </w:r>
    <w:hyperlink r:id="rId1" w:history="1">
      <w:r w:rsidRPr="00384F80">
        <w:rPr>
          <w:rStyle w:val="Hyperlink"/>
          <w:rFonts w:asciiTheme="minorHAnsi" w:hAnsiTheme="minorHAnsi"/>
          <w:sz w:val="18"/>
          <w:szCs w:val="18"/>
        </w:rPr>
        <w:t>www.pbm.va.gov</w:t>
      </w:r>
    </w:hyperlink>
    <w:r w:rsidRPr="00384F80">
      <w:rPr>
        <w:rFonts w:asciiTheme="minorHAnsi" w:hAnsiTheme="minorHAnsi"/>
        <w:sz w:val="18"/>
        <w:szCs w:val="18"/>
      </w:rPr>
      <w:t xml:space="preserve">  or </w:t>
    </w:r>
    <w:hyperlink r:id="rId2" w:history="1">
      <w:r w:rsidRPr="00384F80">
        <w:rPr>
          <w:rStyle w:val="Hyperlink"/>
          <w:rFonts w:asciiTheme="minorHAnsi" w:hAnsiTheme="minorHAnsi" w:cs="Arial"/>
          <w:sz w:val="18"/>
          <w:szCs w:val="18"/>
        </w:rPr>
        <w:t>http://vaww.pbm.va.gov</w:t>
      </w:r>
    </w:hyperlink>
  </w:p>
  <w:p w:rsidR="007D4755" w:rsidRPr="00384F80" w:rsidRDefault="007D4755" w:rsidP="00384F80">
    <w:pPr>
      <w:pStyle w:val="NoSpacing"/>
      <w:rPr>
        <w:rFonts w:asciiTheme="minorHAnsi" w:hAnsiTheme="minorHAnsi"/>
        <w:sz w:val="18"/>
        <w:szCs w:val="18"/>
      </w:rPr>
    </w:pPr>
    <w:r w:rsidRPr="00384F80">
      <w:rPr>
        <w:rStyle w:val="Hyperlink"/>
        <w:rFonts w:asciiTheme="minorHAnsi" w:hAnsiTheme="minorHAnsi" w:cs="Arial"/>
        <w:color w:val="auto"/>
        <w:sz w:val="18"/>
        <w:szCs w:val="18"/>
        <w:u w:val="none"/>
      </w:rPr>
      <w:t>December 2013</w:t>
    </w:r>
    <w:r w:rsidRPr="00384F80">
      <w:rPr>
        <w:rFonts w:asciiTheme="minorHAnsi" w:hAnsiTheme="minorHAnsi" w:cs="Arial"/>
        <w:sz w:val="18"/>
        <w:szCs w:val="18"/>
      </w:rPr>
      <w:t xml:space="preserve">  </w:t>
    </w:r>
  </w:p>
  <w:p w:rsidR="007D4755" w:rsidRDefault="007D4755" w:rsidP="00384F80">
    <w:pPr>
      <w:pStyle w:val="Footer"/>
      <w:pBdr>
        <w:top w:val="thinThickSmallGap" w:sz="24" w:space="2"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07BAE" w:rsidRPr="00407BAE">
      <w:rPr>
        <w:rFonts w:asciiTheme="majorHAnsi" w:hAnsiTheme="majorHAnsi"/>
        <w:noProof/>
      </w:rPr>
      <w:t>1</w:t>
    </w:r>
    <w:r>
      <w:rPr>
        <w:rFonts w:asciiTheme="majorHAnsi" w:hAnsiTheme="majorHAnsi"/>
        <w:noProof/>
      </w:rPr>
      <w:fldChar w:fldCharType="end"/>
    </w:r>
  </w:p>
  <w:p w:rsidR="007D4755" w:rsidRDefault="007D4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55" w:rsidRDefault="007D4755" w:rsidP="000A3F76">
      <w:r>
        <w:separator/>
      </w:r>
    </w:p>
  </w:footnote>
  <w:footnote w:type="continuationSeparator" w:id="0">
    <w:p w:rsidR="007D4755" w:rsidRDefault="007D4755" w:rsidP="000A3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55" w:rsidRPr="000A3F76" w:rsidRDefault="007D4755">
    <w:pPr>
      <w:pStyle w:val="Header"/>
      <w:rPr>
        <w:i/>
      </w:rPr>
    </w:pPr>
    <w:r>
      <w:rPr>
        <w:rFonts w:ascii="Calibri" w:eastAsia="Calibri" w:hAnsi="Calibri"/>
        <w:b/>
        <w:bCs/>
        <w:sz w:val="16"/>
      </w:rPr>
      <w:tab/>
    </w:r>
    <w:r>
      <w:rPr>
        <w:rFonts w:ascii="Calibri" w:eastAsia="Calibri" w:hAnsi="Calibri"/>
        <w:b/>
        <w:bCs/>
        <w:sz w:val="16"/>
      </w:rPr>
      <w:tab/>
    </w:r>
    <w:r w:rsidRPr="00656243">
      <w:rPr>
        <w:rFonts w:ascii="Calibri" w:eastAsia="Calibri" w:hAnsi="Calibri"/>
        <w:b/>
        <w:bCs/>
        <w:i/>
        <w:sz w:val="16"/>
      </w:rPr>
      <w:t>Fluticasone furoate/Vila</w:t>
    </w:r>
    <w:r>
      <w:rPr>
        <w:rFonts w:ascii="Calibri" w:eastAsia="Calibri" w:hAnsi="Calibri"/>
        <w:b/>
        <w:bCs/>
        <w:i/>
        <w:sz w:val="16"/>
      </w:rPr>
      <w:t>n</w:t>
    </w:r>
    <w:r w:rsidRPr="00656243">
      <w:rPr>
        <w:rFonts w:ascii="Calibri" w:eastAsia="Calibri" w:hAnsi="Calibri"/>
        <w:b/>
        <w:bCs/>
        <w:i/>
        <w:sz w:val="16"/>
      </w:rPr>
      <w:t>terol</w:t>
    </w:r>
    <w:r>
      <w:rPr>
        <w:rFonts w:ascii="Calibri" w:eastAsia="Calibri" w:hAnsi="Calibri"/>
        <w:b/>
        <w:bCs/>
        <w:sz w:val="16"/>
      </w:rPr>
      <w:t xml:space="preserve"> </w:t>
    </w:r>
    <w:r w:rsidRPr="000A3F76">
      <w:rPr>
        <w:rFonts w:ascii="Calibri" w:eastAsia="Calibri" w:hAnsi="Calibri"/>
        <w:b/>
        <w:bCs/>
        <w:i/>
        <w:sz w:val="16"/>
      </w:rPr>
      <w:t>Monograph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1_"/>
      </v:shape>
    </w:pict>
  </w:numPicBullet>
  <w:abstractNum w:abstractNumId="0">
    <w:nsid w:val="06FA49E9"/>
    <w:multiLevelType w:val="hybridMultilevel"/>
    <w:tmpl w:val="A1EA3B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C1DCC"/>
    <w:multiLevelType w:val="hybridMultilevel"/>
    <w:tmpl w:val="A13ADD3A"/>
    <w:lvl w:ilvl="0" w:tplc="2A428D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E25EBE"/>
    <w:multiLevelType w:val="hybridMultilevel"/>
    <w:tmpl w:val="CE7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E4E84"/>
    <w:multiLevelType w:val="hybridMultilevel"/>
    <w:tmpl w:val="624A5036"/>
    <w:lvl w:ilvl="0" w:tplc="2A428D1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34E9A"/>
    <w:multiLevelType w:val="hybridMultilevel"/>
    <w:tmpl w:val="9FC6F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4A3A7F"/>
    <w:multiLevelType w:val="hybridMultilevel"/>
    <w:tmpl w:val="D82EF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9778EB"/>
    <w:multiLevelType w:val="hybridMultilevel"/>
    <w:tmpl w:val="4BF8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13781"/>
    <w:multiLevelType w:val="hybridMultilevel"/>
    <w:tmpl w:val="F0D49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2415D"/>
    <w:multiLevelType w:val="hybridMultilevel"/>
    <w:tmpl w:val="F5BAA184"/>
    <w:lvl w:ilvl="0" w:tplc="6838B868">
      <w:start w:val="1"/>
      <w:numFmt w:val="decimal"/>
      <w:lvlText w:val="%1."/>
      <w:lvlJc w:val="left"/>
      <w:pPr>
        <w:tabs>
          <w:tab w:val="num" w:pos="425"/>
        </w:tabs>
        <w:ind w:left="425" w:hanging="360"/>
      </w:pPr>
      <w:rPr>
        <w:rFonts w:ascii="Arial" w:hAnsi="Arial" w:cs="Arial" w:hint="default"/>
        <w:b w:val="0"/>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9AD711B"/>
    <w:multiLevelType w:val="hybridMultilevel"/>
    <w:tmpl w:val="06A8B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934191"/>
    <w:multiLevelType w:val="hybridMultilevel"/>
    <w:tmpl w:val="1C623760"/>
    <w:lvl w:ilvl="0" w:tplc="2A428D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3"/>
  </w:num>
  <w:num w:numId="6">
    <w:abstractNumId w:val="8"/>
  </w:num>
  <w:num w:numId="7">
    <w:abstractNumId w:val="2"/>
  </w:num>
  <w:num w:numId="8">
    <w:abstractNumId w:val="6"/>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BF"/>
    <w:rsid w:val="000005C9"/>
    <w:rsid w:val="00004958"/>
    <w:rsid w:val="00010039"/>
    <w:rsid w:val="00013B89"/>
    <w:rsid w:val="00013EF3"/>
    <w:rsid w:val="00015A26"/>
    <w:rsid w:val="00030473"/>
    <w:rsid w:val="00032C52"/>
    <w:rsid w:val="00034E34"/>
    <w:rsid w:val="000364C7"/>
    <w:rsid w:val="00036F29"/>
    <w:rsid w:val="000379A2"/>
    <w:rsid w:val="00037A51"/>
    <w:rsid w:val="00041A09"/>
    <w:rsid w:val="00042D98"/>
    <w:rsid w:val="000451A7"/>
    <w:rsid w:val="000472D7"/>
    <w:rsid w:val="00053E73"/>
    <w:rsid w:val="000556C6"/>
    <w:rsid w:val="00055EFA"/>
    <w:rsid w:val="00056D9C"/>
    <w:rsid w:val="00062B7C"/>
    <w:rsid w:val="000669E6"/>
    <w:rsid w:val="00067347"/>
    <w:rsid w:val="0007136B"/>
    <w:rsid w:val="00077D23"/>
    <w:rsid w:val="000802F3"/>
    <w:rsid w:val="00081378"/>
    <w:rsid w:val="00081957"/>
    <w:rsid w:val="00082092"/>
    <w:rsid w:val="00087E53"/>
    <w:rsid w:val="00096AF9"/>
    <w:rsid w:val="000A3DB5"/>
    <w:rsid w:val="000A3F76"/>
    <w:rsid w:val="000B2F85"/>
    <w:rsid w:val="000B41AD"/>
    <w:rsid w:val="000B7AE0"/>
    <w:rsid w:val="000C222D"/>
    <w:rsid w:val="000C675D"/>
    <w:rsid w:val="000D12BB"/>
    <w:rsid w:val="000D1F37"/>
    <w:rsid w:val="000D22D3"/>
    <w:rsid w:val="000D2D7E"/>
    <w:rsid w:val="000D4504"/>
    <w:rsid w:val="000D5E70"/>
    <w:rsid w:val="000D7A89"/>
    <w:rsid w:val="000D7D1D"/>
    <w:rsid w:val="000E3963"/>
    <w:rsid w:val="000E452D"/>
    <w:rsid w:val="00100178"/>
    <w:rsid w:val="001076FC"/>
    <w:rsid w:val="0012186E"/>
    <w:rsid w:val="0012305C"/>
    <w:rsid w:val="00124C2B"/>
    <w:rsid w:val="001301F8"/>
    <w:rsid w:val="00131152"/>
    <w:rsid w:val="001319DD"/>
    <w:rsid w:val="00133E8F"/>
    <w:rsid w:val="00134CC5"/>
    <w:rsid w:val="00136203"/>
    <w:rsid w:val="00141315"/>
    <w:rsid w:val="00144456"/>
    <w:rsid w:val="00146965"/>
    <w:rsid w:val="001531AE"/>
    <w:rsid w:val="001575E0"/>
    <w:rsid w:val="00157929"/>
    <w:rsid w:val="00157C97"/>
    <w:rsid w:val="00163B8B"/>
    <w:rsid w:val="001677BF"/>
    <w:rsid w:val="0017233A"/>
    <w:rsid w:val="00172BE6"/>
    <w:rsid w:val="001732C2"/>
    <w:rsid w:val="00173A23"/>
    <w:rsid w:val="001740DB"/>
    <w:rsid w:val="00175E79"/>
    <w:rsid w:val="001825CA"/>
    <w:rsid w:val="0018422E"/>
    <w:rsid w:val="00187DA3"/>
    <w:rsid w:val="00190C75"/>
    <w:rsid w:val="00197AB3"/>
    <w:rsid w:val="001A0345"/>
    <w:rsid w:val="001A25CD"/>
    <w:rsid w:val="001B0B2B"/>
    <w:rsid w:val="001B0B95"/>
    <w:rsid w:val="001B15A9"/>
    <w:rsid w:val="001B26F1"/>
    <w:rsid w:val="001C0FA8"/>
    <w:rsid w:val="001C5322"/>
    <w:rsid w:val="001C5AC3"/>
    <w:rsid w:val="001C6F5C"/>
    <w:rsid w:val="001D0261"/>
    <w:rsid w:val="001D47FA"/>
    <w:rsid w:val="001D533C"/>
    <w:rsid w:val="001E246A"/>
    <w:rsid w:val="001E2EA0"/>
    <w:rsid w:val="001E3B4C"/>
    <w:rsid w:val="001E5994"/>
    <w:rsid w:val="001E5FA0"/>
    <w:rsid w:val="001E6474"/>
    <w:rsid w:val="001F17F5"/>
    <w:rsid w:val="001F5398"/>
    <w:rsid w:val="00201325"/>
    <w:rsid w:val="00201841"/>
    <w:rsid w:val="00205DFE"/>
    <w:rsid w:val="002115B5"/>
    <w:rsid w:val="00212028"/>
    <w:rsid w:val="00215BC3"/>
    <w:rsid w:val="002174ED"/>
    <w:rsid w:val="00220E7E"/>
    <w:rsid w:val="0022137D"/>
    <w:rsid w:val="002228DF"/>
    <w:rsid w:val="00231535"/>
    <w:rsid w:val="00232F2D"/>
    <w:rsid w:val="002333F6"/>
    <w:rsid w:val="00235CDF"/>
    <w:rsid w:val="002365AF"/>
    <w:rsid w:val="00236E34"/>
    <w:rsid w:val="002371C1"/>
    <w:rsid w:val="002415E0"/>
    <w:rsid w:val="00241BC0"/>
    <w:rsid w:val="00241F1A"/>
    <w:rsid w:val="00243D23"/>
    <w:rsid w:val="00245BE4"/>
    <w:rsid w:val="00251954"/>
    <w:rsid w:val="00256E9C"/>
    <w:rsid w:val="00265B4A"/>
    <w:rsid w:val="00265D83"/>
    <w:rsid w:val="00267A3C"/>
    <w:rsid w:val="00267F19"/>
    <w:rsid w:val="00274EE4"/>
    <w:rsid w:val="0027756C"/>
    <w:rsid w:val="002830F7"/>
    <w:rsid w:val="0029261A"/>
    <w:rsid w:val="0029308D"/>
    <w:rsid w:val="002938A0"/>
    <w:rsid w:val="00296A81"/>
    <w:rsid w:val="002A541C"/>
    <w:rsid w:val="002B0E77"/>
    <w:rsid w:val="002B3423"/>
    <w:rsid w:val="002B36EA"/>
    <w:rsid w:val="002B3B5D"/>
    <w:rsid w:val="002B6F83"/>
    <w:rsid w:val="002B70AB"/>
    <w:rsid w:val="002C1F70"/>
    <w:rsid w:val="002C37EE"/>
    <w:rsid w:val="002C6678"/>
    <w:rsid w:val="002D2E29"/>
    <w:rsid w:val="002D5DBC"/>
    <w:rsid w:val="002D6952"/>
    <w:rsid w:val="002D712B"/>
    <w:rsid w:val="002E0792"/>
    <w:rsid w:val="002E6EE5"/>
    <w:rsid w:val="002E76C1"/>
    <w:rsid w:val="002F3C7F"/>
    <w:rsid w:val="002F4497"/>
    <w:rsid w:val="002F4EF8"/>
    <w:rsid w:val="002F6035"/>
    <w:rsid w:val="002F6A9E"/>
    <w:rsid w:val="00302A07"/>
    <w:rsid w:val="003063FE"/>
    <w:rsid w:val="00306D95"/>
    <w:rsid w:val="003101E2"/>
    <w:rsid w:val="00312785"/>
    <w:rsid w:val="003154C8"/>
    <w:rsid w:val="003169C2"/>
    <w:rsid w:val="00317051"/>
    <w:rsid w:val="003203F7"/>
    <w:rsid w:val="00322FC0"/>
    <w:rsid w:val="0032623B"/>
    <w:rsid w:val="003430F7"/>
    <w:rsid w:val="003432B3"/>
    <w:rsid w:val="003465D7"/>
    <w:rsid w:val="00351991"/>
    <w:rsid w:val="00352117"/>
    <w:rsid w:val="00355FC0"/>
    <w:rsid w:val="00362B28"/>
    <w:rsid w:val="00366C4E"/>
    <w:rsid w:val="00366FAE"/>
    <w:rsid w:val="00371C22"/>
    <w:rsid w:val="00373399"/>
    <w:rsid w:val="0037369A"/>
    <w:rsid w:val="00382C7A"/>
    <w:rsid w:val="00383865"/>
    <w:rsid w:val="00384F80"/>
    <w:rsid w:val="00386770"/>
    <w:rsid w:val="0039158E"/>
    <w:rsid w:val="00395B07"/>
    <w:rsid w:val="003960FF"/>
    <w:rsid w:val="00396198"/>
    <w:rsid w:val="00396217"/>
    <w:rsid w:val="003967F8"/>
    <w:rsid w:val="003A06F9"/>
    <w:rsid w:val="003B37F3"/>
    <w:rsid w:val="003B6590"/>
    <w:rsid w:val="003B6F72"/>
    <w:rsid w:val="003C0F5B"/>
    <w:rsid w:val="003C1468"/>
    <w:rsid w:val="003C1622"/>
    <w:rsid w:val="003C316F"/>
    <w:rsid w:val="003D0231"/>
    <w:rsid w:val="003D08DE"/>
    <w:rsid w:val="003D095C"/>
    <w:rsid w:val="003E00D8"/>
    <w:rsid w:val="003E3809"/>
    <w:rsid w:val="003E53AC"/>
    <w:rsid w:val="003F3BA7"/>
    <w:rsid w:val="003F6709"/>
    <w:rsid w:val="0040280B"/>
    <w:rsid w:val="00407BAE"/>
    <w:rsid w:val="00423315"/>
    <w:rsid w:val="00425412"/>
    <w:rsid w:val="00426EA6"/>
    <w:rsid w:val="00427FFD"/>
    <w:rsid w:val="00430118"/>
    <w:rsid w:val="004344C4"/>
    <w:rsid w:val="00437F47"/>
    <w:rsid w:val="00443251"/>
    <w:rsid w:val="00447C47"/>
    <w:rsid w:val="00453260"/>
    <w:rsid w:val="004548E4"/>
    <w:rsid w:val="00456FBA"/>
    <w:rsid w:val="004608B6"/>
    <w:rsid w:val="00464D2E"/>
    <w:rsid w:val="00466628"/>
    <w:rsid w:val="00467B34"/>
    <w:rsid w:val="00467D63"/>
    <w:rsid w:val="00475D9F"/>
    <w:rsid w:val="00482A04"/>
    <w:rsid w:val="00484B15"/>
    <w:rsid w:val="004864CB"/>
    <w:rsid w:val="004904EE"/>
    <w:rsid w:val="00492609"/>
    <w:rsid w:val="004938EE"/>
    <w:rsid w:val="00493BAE"/>
    <w:rsid w:val="004A55E4"/>
    <w:rsid w:val="004A6AF2"/>
    <w:rsid w:val="004B0055"/>
    <w:rsid w:val="004B0439"/>
    <w:rsid w:val="004B0AE9"/>
    <w:rsid w:val="004B2FC2"/>
    <w:rsid w:val="004B435A"/>
    <w:rsid w:val="004B767D"/>
    <w:rsid w:val="004C3817"/>
    <w:rsid w:val="004C45B8"/>
    <w:rsid w:val="004C5362"/>
    <w:rsid w:val="004D1216"/>
    <w:rsid w:val="004D1D8E"/>
    <w:rsid w:val="004D3BEF"/>
    <w:rsid w:val="004D697C"/>
    <w:rsid w:val="004D7452"/>
    <w:rsid w:val="004E41E7"/>
    <w:rsid w:val="004E60E2"/>
    <w:rsid w:val="004F04E1"/>
    <w:rsid w:val="004F0E0A"/>
    <w:rsid w:val="004F116D"/>
    <w:rsid w:val="00500F27"/>
    <w:rsid w:val="00506B9A"/>
    <w:rsid w:val="00507A5A"/>
    <w:rsid w:val="005109F7"/>
    <w:rsid w:val="00511D5E"/>
    <w:rsid w:val="005255DF"/>
    <w:rsid w:val="00526019"/>
    <w:rsid w:val="00526AAE"/>
    <w:rsid w:val="00530790"/>
    <w:rsid w:val="005314A2"/>
    <w:rsid w:val="00535735"/>
    <w:rsid w:val="005402CD"/>
    <w:rsid w:val="00545AF0"/>
    <w:rsid w:val="0054625D"/>
    <w:rsid w:val="00552371"/>
    <w:rsid w:val="00553584"/>
    <w:rsid w:val="00555513"/>
    <w:rsid w:val="005561C4"/>
    <w:rsid w:val="005572FD"/>
    <w:rsid w:val="00560C03"/>
    <w:rsid w:val="00561BC0"/>
    <w:rsid w:val="00561FF3"/>
    <w:rsid w:val="00564F88"/>
    <w:rsid w:val="00573BEB"/>
    <w:rsid w:val="00582139"/>
    <w:rsid w:val="00583C72"/>
    <w:rsid w:val="005841B6"/>
    <w:rsid w:val="00584437"/>
    <w:rsid w:val="00584AE7"/>
    <w:rsid w:val="00586650"/>
    <w:rsid w:val="0058679E"/>
    <w:rsid w:val="00591E55"/>
    <w:rsid w:val="00595C2B"/>
    <w:rsid w:val="005A20E5"/>
    <w:rsid w:val="005A47F6"/>
    <w:rsid w:val="005A4CF6"/>
    <w:rsid w:val="005B0715"/>
    <w:rsid w:val="005B24C8"/>
    <w:rsid w:val="005B2AC1"/>
    <w:rsid w:val="005B3080"/>
    <w:rsid w:val="005B3401"/>
    <w:rsid w:val="005B3DB1"/>
    <w:rsid w:val="005B4B7C"/>
    <w:rsid w:val="005C2905"/>
    <w:rsid w:val="005C6D9B"/>
    <w:rsid w:val="005E0CC6"/>
    <w:rsid w:val="005E167D"/>
    <w:rsid w:val="005F0E86"/>
    <w:rsid w:val="005F2FA6"/>
    <w:rsid w:val="005F6744"/>
    <w:rsid w:val="006015B3"/>
    <w:rsid w:val="00604B8F"/>
    <w:rsid w:val="00606B4A"/>
    <w:rsid w:val="006101BC"/>
    <w:rsid w:val="0061172C"/>
    <w:rsid w:val="00613882"/>
    <w:rsid w:val="0061636C"/>
    <w:rsid w:val="006168EB"/>
    <w:rsid w:val="00620094"/>
    <w:rsid w:val="00620C00"/>
    <w:rsid w:val="006315C5"/>
    <w:rsid w:val="006327D3"/>
    <w:rsid w:val="006336B9"/>
    <w:rsid w:val="006339CE"/>
    <w:rsid w:val="00640D47"/>
    <w:rsid w:val="00640DE9"/>
    <w:rsid w:val="00643384"/>
    <w:rsid w:val="00645B2B"/>
    <w:rsid w:val="00656243"/>
    <w:rsid w:val="00661043"/>
    <w:rsid w:val="00663A2E"/>
    <w:rsid w:val="00663A81"/>
    <w:rsid w:val="00666295"/>
    <w:rsid w:val="0067004A"/>
    <w:rsid w:val="006701E2"/>
    <w:rsid w:val="00670C34"/>
    <w:rsid w:val="00672383"/>
    <w:rsid w:val="006766EE"/>
    <w:rsid w:val="00677B3E"/>
    <w:rsid w:val="00680281"/>
    <w:rsid w:val="006835D3"/>
    <w:rsid w:val="00685494"/>
    <w:rsid w:val="006937AB"/>
    <w:rsid w:val="00694685"/>
    <w:rsid w:val="00695039"/>
    <w:rsid w:val="0069581E"/>
    <w:rsid w:val="00695AF8"/>
    <w:rsid w:val="00696518"/>
    <w:rsid w:val="006A18E3"/>
    <w:rsid w:val="006A2349"/>
    <w:rsid w:val="006B0640"/>
    <w:rsid w:val="006B4A43"/>
    <w:rsid w:val="006B52EB"/>
    <w:rsid w:val="006B6728"/>
    <w:rsid w:val="006C0B8F"/>
    <w:rsid w:val="006C1214"/>
    <w:rsid w:val="006C1766"/>
    <w:rsid w:val="006C2B1B"/>
    <w:rsid w:val="006D2A91"/>
    <w:rsid w:val="006E0DE9"/>
    <w:rsid w:val="006E5F4B"/>
    <w:rsid w:val="006F09CA"/>
    <w:rsid w:val="006F1C46"/>
    <w:rsid w:val="006F3438"/>
    <w:rsid w:val="006F4F7F"/>
    <w:rsid w:val="006F6F7E"/>
    <w:rsid w:val="00701E96"/>
    <w:rsid w:val="00702E4E"/>
    <w:rsid w:val="0070588A"/>
    <w:rsid w:val="00707480"/>
    <w:rsid w:val="00711EE7"/>
    <w:rsid w:val="00715EB3"/>
    <w:rsid w:val="00716B76"/>
    <w:rsid w:val="00725816"/>
    <w:rsid w:val="007300D8"/>
    <w:rsid w:val="00731B78"/>
    <w:rsid w:val="007331B6"/>
    <w:rsid w:val="007337E1"/>
    <w:rsid w:val="00733F49"/>
    <w:rsid w:val="00735D21"/>
    <w:rsid w:val="00745B44"/>
    <w:rsid w:val="0074739F"/>
    <w:rsid w:val="00747BAD"/>
    <w:rsid w:val="00750393"/>
    <w:rsid w:val="00751C90"/>
    <w:rsid w:val="007527E9"/>
    <w:rsid w:val="00757AD3"/>
    <w:rsid w:val="007632E1"/>
    <w:rsid w:val="00765857"/>
    <w:rsid w:val="00765BEF"/>
    <w:rsid w:val="007710A5"/>
    <w:rsid w:val="00771879"/>
    <w:rsid w:val="00773ED7"/>
    <w:rsid w:val="00774952"/>
    <w:rsid w:val="00775839"/>
    <w:rsid w:val="00777DCD"/>
    <w:rsid w:val="00783D10"/>
    <w:rsid w:val="00787204"/>
    <w:rsid w:val="00787B83"/>
    <w:rsid w:val="007A10BD"/>
    <w:rsid w:val="007A1379"/>
    <w:rsid w:val="007A27B3"/>
    <w:rsid w:val="007A2A73"/>
    <w:rsid w:val="007A7EC9"/>
    <w:rsid w:val="007B0E3A"/>
    <w:rsid w:val="007B1EC1"/>
    <w:rsid w:val="007B1EF9"/>
    <w:rsid w:val="007B26B9"/>
    <w:rsid w:val="007C3D9E"/>
    <w:rsid w:val="007C6382"/>
    <w:rsid w:val="007D2938"/>
    <w:rsid w:val="007D4250"/>
    <w:rsid w:val="007D4755"/>
    <w:rsid w:val="007D6BEA"/>
    <w:rsid w:val="007D7AFF"/>
    <w:rsid w:val="007E4726"/>
    <w:rsid w:val="007E6D69"/>
    <w:rsid w:val="007F2272"/>
    <w:rsid w:val="00802E67"/>
    <w:rsid w:val="00810A0B"/>
    <w:rsid w:val="008170B3"/>
    <w:rsid w:val="0082181A"/>
    <w:rsid w:val="00821AD2"/>
    <w:rsid w:val="008271E8"/>
    <w:rsid w:val="00827C95"/>
    <w:rsid w:val="008340C2"/>
    <w:rsid w:val="008342E5"/>
    <w:rsid w:val="0083443C"/>
    <w:rsid w:val="008356E9"/>
    <w:rsid w:val="00837B26"/>
    <w:rsid w:val="00841AF4"/>
    <w:rsid w:val="00844105"/>
    <w:rsid w:val="0084477B"/>
    <w:rsid w:val="0084598E"/>
    <w:rsid w:val="00845E28"/>
    <w:rsid w:val="008462C3"/>
    <w:rsid w:val="00855F61"/>
    <w:rsid w:val="0086020F"/>
    <w:rsid w:val="008622BF"/>
    <w:rsid w:val="00864070"/>
    <w:rsid w:val="008644E0"/>
    <w:rsid w:val="00864D6B"/>
    <w:rsid w:val="008674E5"/>
    <w:rsid w:val="00871911"/>
    <w:rsid w:val="008720A9"/>
    <w:rsid w:val="00872919"/>
    <w:rsid w:val="0088194C"/>
    <w:rsid w:val="00883949"/>
    <w:rsid w:val="00883BEE"/>
    <w:rsid w:val="008962F5"/>
    <w:rsid w:val="00896CA6"/>
    <w:rsid w:val="008A2C0E"/>
    <w:rsid w:val="008A5E76"/>
    <w:rsid w:val="008A7403"/>
    <w:rsid w:val="008B105E"/>
    <w:rsid w:val="008B40EB"/>
    <w:rsid w:val="008B5208"/>
    <w:rsid w:val="008B5B7F"/>
    <w:rsid w:val="008C0467"/>
    <w:rsid w:val="008C1982"/>
    <w:rsid w:val="008C1A81"/>
    <w:rsid w:val="008C62A1"/>
    <w:rsid w:val="008C796E"/>
    <w:rsid w:val="008D0BE5"/>
    <w:rsid w:val="008D1D35"/>
    <w:rsid w:val="008D29E0"/>
    <w:rsid w:val="008D5255"/>
    <w:rsid w:val="008E439C"/>
    <w:rsid w:val="008F2558"/>
    <w:rsid w:val="008F3EB6"/>
    <w:rsid w:val="008F5F0D"/>
    <w:rsid w:val="008F6EB7"/>
    <w:rsid w:val="008F7681"/>
    <w:rsid w:val="0090463E"/>
    <w:rsid w:val="009048B8"/>
    <w:rsid w:val="009068A2"/>
    <w:rsid w:val="009075CD"/>
    <w:rsid w:val="00912E77"/>
    <w:rsid w:val="00914657"/>
    <w:rsid w:val="0092305B"/>
    <w:rsid w:val="00923F53"/>
    <w:rsid w:val="0092475A"/>
    <w:rsid w:val="0092560C"/>
    <w:rsid w:val="009322A1"/>
    <w:rsid w:val="009341C3"/>
    <w:rsid w:val="0093700D"/>
    <w:rsid w:val="00950FDA"/>
    <w:rsid w:val="009524D7"/>
    <w:rsid w:val="0095309D"/>
    <w:rsid w:val="009545CF"/>
    <w:rsid w:val="00954F03"/>
    <w:rsid w:val="00955916"/>
    <w:rsid w:val="0096005E"/>
    <w:rsid w:val="00963ADA"/>
    <w:rsid w:val="009642D3"/>
    <w:rsid w:val="0096444A"/>
    <w:rsid w:val="00967AFC"/>
    <w:rsid w:val="00967F80"/>
    <w:rsid w:val="00970542"/>
    <w:rsid w:val="00970B3D"/>
    <w:rsid w:val="009722CC"/>
    <w:rsid w:val="00977006"/>
    <w:rsid w:val="00980008"/>
    <w:rsid w:val="00997E23"/>
    <w:rsid w:val="009A252D"/>
    <w:rsid w:val="009A669B"/>
    <w:rsid w:val="009A7BFB"/>
    <w:rsid w:val="009B02F1"/>
    <w:rsid w:val="009B060F"/>
    <w:rsid w:val="009B17B0"/>
    <w:rsid w:val="009B4EDF"/>
    <w:rsid w:val="009C41B0"/>
    <w:rsid w:val="009C5E7A"/>
    <w:rsid w:val="009C6DA0"/>
    <w:rsid w:val="009C7C08"/>
    <w:rsid w:val="009D079B"/>
    <w:rsid w:val="009D0AF1"/>
    <w:rsid w:val="009E0612"/>
    <w:rsid w:val="009E21A0"/>
    <w:rsid w:val="009E4CB0"/>
    <w:rsid w:val="009F26CB"/>
    <w:rsid w:val="00A03C5B"/>
    <w:rsid w:val="00A03D45"/>
    <w:rsid w:val="00A07175"/>
    <w:rsid w:val="00A14C8D"/>
    <w:rsid w:val="00A14D4E"/>
    <w:rsid w:val="00A22D6F"/>
    <w:rsid w:val="00A252AD"/>
    <w:rsid w:val="00A25F9F"/>
    <w:rsid w:val="00A3326B"/>
    <w:rsid w:val="00A36A35"/>
    <w:rsid w:val="00A44B23"/>
    <w:rsid w:val="00A474EE"/>
    <w:rsid w:val="00A47CFC"/>
    <w:rsid w:val="00A50287"/>
    <w:rsid w:val="00A506C4"/>
    <w:rsid w:val="00A55AF4"/>
    <w:rsid w:val="00A6057B"/>
    <w:rsid w:val="00A606F2"/>
    <w:rsid w:val="00A60ED0"/>
    <w:rsid w:val="00A60FDA"/>
    <w:rsid w:val="00A6518C"/>
    <w:rsid w:val="00A67369"/>
    <w:rsid w:val="00A718ED"/>
    <w:rsid w:val="00A743BD"/>
    <w:rsid w:val="00A75644"/>
    <w:rsid w:val="00A75A58"/>
    <w:rsid w:val="00A8106A"/>
    <w:rsid w:val="00A839C9"/>
    <w:rsid w:val="00A849C3"/>
    <w:rsid w:val="00A865AA"/>
    <w:rsid w:val="00A87787"/>
    <w:rsid w:val="00A909B6"/>
    <w:rsid w:val="00A94735"/>
    <w:rsid w:val="00A952B1"/>
    <w:rsid w:val="00A96B34"/>
    <w:rsid w:val="00A97CF7"/>
    <w:rsid w:val="00AA17F6"/>
    <w:rsid w:val="00AA355D"/>
    <w:rsid w:val="00AA3A80"/>
    <w:rsid w:val="00AA514F"/>
    <w:rsid w:val="00AA78B5"/>
    <w:rsid w:val="00AB0168"/>
    <w:rsid w:val="00AB3008"/>
    <w:rsid w:val="00AB39E0"/>
    <w:rsid w:val="00AB7BBB"/>
    <w:rsid w:val="00AC113C"/>
    <w:rsid w:val="00AC31F6"/>
    <w:rsid w:val="00AC505E"/>
    <w:rsid w:val="00AC56B6"/>
    <w:rsid w:val="00AC5FDD"/>
    <w:rsid w:val="00AD3DB4"/>
    <w:rsid w:val="00AD6F94"/>
    <w:rsid w:val="00AE4809"/>
    <w:rsid w:val="00AF07EA"/>
    <w:rsid w:val="00AF7248"/>
    <w:rsid w:val="00B02026"/>
    <w:rsid w:val="00B03B4E"/>
    <w:rsid w:val="00B04CFE"/>
    <w:rsid w:val="00B12276"/>
    <w:rsid w:val="00B22FBD"/>
    <w:rsid w:val="00B2424E"/>
    <w:rsid w:val="00B32011"/>
    <w:rsid w:val="00B34883"/>
    <w:rsid w:val="00B34F5A"/>
    <w:rsid w:val="00B36C80"/>
    <w:rsid w:val="00B40801"/>
    <w:rsid w:val="00B40E13"/>
    <w:rsid w:val="00B43C8D"/>
    <w:rsid w:val="00B46EBC"/>
    <w:rsid w:val="00B56A16"/>
    <w:rsid w:val="00B71076"/>
    <w:rsid w:val="00B745E2"/>
    <w:rsid w:val="00B8048A"/>
    <w:rsid w:val="00B839A5"/>
    <w:rsid w:val="00B84A0F"/>
    <w:rsid w:val="00B92F91"/>
    <w:rsid w:val="00B94BBB"/>
    <w:rsid w:val="00BA3D90"/>
    <w:rsid w:val="00BA4DEE"/>
    <w:rsid w:val="00BA6311"/>
    <w:rsid w:val="00BB4644"/>
    <w:rsid w:val="00BB7B25"/>
    <w:rsid w:val="00BC0CA6"/>
    <w:rsid w:val="00BC1B4D"/>
    <w:rsid w:val="00BC25CC"/>
    <w:rsid w:val="00BC2DFD"/>
    <w:rsid w:val="00BC301C"/>
    <w:rsid w:val="00BC4742"/>
    <w:rsid w:val="00BC52B8"/>
    <w:rsid w:val="00BC7592"/>
    <w:rsid w:val="00BD08B1"/>
    <w:rsid w:val="00BD10BF"/>
    <w:rsid w:val="00BE0B27"/>
    <w:rsid w:val="00BE17D0"/>
    <w:rsid w:val="00BE575D"/>
    <w:rsid w:val="00BE74A7"/>
    <w:rsid w:val="00BF1770"/>
    <w:rsid w:val="00BF71D5"/>
    <w:rsid w:val="00C14B91"/>
    <w:rsid w:val="00C176DF"/>
    <w:rsid w:val="00C21DFE"/>
    <w:rsid w:val="00C31A0F"/>
    <w:rsid w:val="00C36C39"/>
    <w:rsid w:val="00C3735D"/>
    <w:rsid w:val="00C5170D"/>
    <w:rsid w:val="00C51D13"/>
    <w:rsid w:val="00C65E70"/>
    <w:rsid w:val="00C660FC"/>
    <w:rsid w:val="00C66CD4"/>
    <w:rsid w:val="00C70195"/>
    <w:rsid w:val="00C71601"/>
    <w:rsid w:val="00C72BD4"/>
    <w:rsid w:val="00C73FA3"/>
    <w:rsid w:val="00C76FB8"/>
    <w:rsid w:val="00C825AE"/>
    <w:rsid w:val="00C83873"/>
    <w:rsid w:val="00C84D10"/>
    <w:rsid w:val="00C93EB8"/>
    <w:rsid w:val="00C978FE"/>
    <w:rsid w:val="00C97D04"/>
    <w:rsid w:val="00CB08FD"/>
    <w:rsid w:val="00CB47CB"/>
    <w:rsid w:val="00CB6BF9"/>
    <w:rsid w:val="00CC1C66"/>
    <w:rsid w:val="00CC50EA"/>
    <w:rsid w:val="00CC72F7"/>
    <w:rsid w:val="00CC7AEF"/>
    <w:rsid w:val="00CC7F5B"/>
    <w:rsid w:val="00CD129C"/>
    <w:rsid w:val="00CD1D70"/>
    <w:rsid w:val="00CD6673"/>
    <w:rsid w:val="00CD6C89"/>
    <w:rsid w:val="00CE100D"/>
    <w:rsid w:val="00CE233E"/>
    <w:rsid w:val="00CE26F1"/>
    <w:rsid w:val="00CE3994"/>
    <w:rsid w:val="00CE43D1"/>
    <w:rsid w:val="00CE7F48"/>
    <w:rsid w:val="00CF2A7F"/>
    <w:rsid w:val="00D01638"/>
    <w:rsid w:val="00D1168B"/>
    <w:rsid w:val="00D12258"/>
    <w:rsid w:val="00D12D16"/>
    <w:rsid w:val="00D13D96"/>
    <w:rsid w:val="00D15045"/>
    <w:rsid w:val="00D15E7D"/>
    <w:rsid w:val="00D200E7"/>
    <w:rsid w:val="00D22A0A"/>
    <w:rsid w:val="00D23AA8"/>
    <w:rsid w:val="00D32F01"/>
    <w:rsid w:val="00D33AF5"/>
    <w:rsid w:val="00D3766A"/>
    <w:rsid w:val="00D42CFA"/>
    <w:rsid w:val="00D45E76"/>
    <w:rsid w:val="00D46E66"/>
    <w:rsid w:val="00D47E9A"/>
    <w:rsid w:val="00D5137F"/>
    <w:rsid w:val="00D52901"/>
    <w:rsid w:val="00D56EAD"/>
    <w:rsid w:val="00D56EC4"/>
    <w:rsid w:val="00D57E10"/>
    <w:rsid w:val="00D65648"/>
    <w:rsid w:val="00D65720"/>
    <w:rsid w:val="00D724F6"/>
    <w:rsid w:val="00D81382"/>
    <w:rsid w:val="00D83893"/>
    <w:rsid w:val="00D95BD4"/>
    <w:rsid w:val="00D96466"/>
    <w:rsid w:val="00D968C2"/>
    <w:rsid w:val="00DA2286"/>
    <w:rsid w:val="00DA2D49"/>
    <w:rsid w:val="00DA488E"/>
    <w:rsid w:val="00DA738E"/>
    <w:rsid w:val="00DD4E02"/>
    <w:rsid w:val="00DD6900"/>
    <w:rsid w:val="00DE7C2D"/>
    <w:rsid w:val="00DE7D06"/>
    <w:rsid w:val="00DF3BDB"/>
    <w:rsid w:val="00E00182"/>
    <w:rsid w:val="00E01678"/>
    <w:rsid w:val="00E01EEA"/>
    <w:rsid w:val="00E02DDE"/>
    <w:rsid w:val="00E03E62"/>
    <w:rsid w:val="00E11107"/>
    <w:rsid w:val="00E1757B"/>
    <w:rsid w:val="00E23600"/>
    <w:rsid w:val="00E261EB"/>
    <w:rsid w:val="00E26B12"/>
    <w:rsid w:val="00E27067"/>
    <w:rsid w:val="00E27951"/>
    <w:rsid w:val="00E30240"/>
    <w:rsid w:val="00E33539"/>
    <w:rsid w:val="00E35D19"/>
    <w:rsid w:val="00E409D1"/>
    <w:rsid w:val="00E410F4"/>
    <w:rsid w:val="00E43930"/>
    <w:rsid w:val="00E45020"/>
    <w:rsid w:val="00E62926"/>
    <w:rsid w:val="00E63CCB"/>
    <w:rsid w:val="00E640A6"/>
    <w:rsid w:val="00E64CAA"/>
    <w:rsid w:val="00E6651D"/>
    <w:rsid w:val="00E667ED"/>
    <w:rsid w:val="00E7620D"/>
    <w:rsid w:val="00E8004C"/>
    <w:rsid w:val="00E82D7E"/>
    <w:rsid w:val="00E84A0E"/>
    <w:rsid w:val="00E90497"/>
    <w:rsid w:val="00E929C2"/>
    <w:rsid w:val="00E94A66"/>
    <w:rsid w:val="00E95A8C"/>
    <w:rsid w:val="00E96EEF"/>
    <w:rsid w:val="00EA1CF3"/>
    <w:rsid w:val="00EA3950"/>
    <w:rsid w:val="00EA4086"/>
    <w:rsid w:val="00EA5310"/>
    <w:rsid w:val="00EB3311"/>
    <w:rsid w:val="00EC23FD"/>
    <w:rsid w:val="00EC3A23"/>
    <w:rsid w:val="00EC46E9"/>
    <w:rsid w:val="00EC5933"/>
    <w:rsid w:val="00ED5713"/>
    <w:rsid w:val="00ED7B32"/>
    <w:rsid w:val="00ED7DBA"/>
    <w:rsid w:val="00EE3098"/>
    <w:rsid w:val="00EF1CC4"/>
    <w:rsid w:val="00EF21C7"/>
    <w:rsid w:val="00EF2F19"/>
    <w:rsid w:val="00EF6FB2"/>
    <w:rsid w:val="00F11D2A"/>
    <w:rsid w:val="00F13A84"/>
    <w:rsid w:val="00F17971"/>
    <w:rsid w:val="00F20A55"/>
    <w:rsid w:val="00F20D26"/>
    <w:rsid w:val="00F22B8A"/>
    <w:rsid w:val="00F27172"/>
    <w:rsid w:val="00F302A6"/>
    <w:rsid w:val="00F33EBA"/>
    <w:rsid w:val="00F34AAC"/>
    <w:rsid w:val="00F373B3"/>
    <w:rsid w:val="00F37CF8"/>
    <w:rsid w:val="00F40871"/>
    <w:rsid w:val="00F4436B"/>
    <w:rsid w:val="00F46787"/>
    <w:rsid w:val="00F5217C"/>
    <w:rsid w:val="00F523C7"/>
    <w:rsid w:val="00F56C87"/>
    <w:rsid w:val="00F57848"/>
    <w:rsid w:val="00F60CD3"/>
    <w:rsid w:val="00F615F1"/>
    <w:rsid w:val="00F63A66"/>
    <w:rsid w:val="00F70776"/>
    <w:rsid w:val="00F75134"/>
    <w:rsid w:val="00F76BE6"/>
    <w:rsid w:val="00F9176C"/>
    <w:rsid w:val="00F92FE3"/>
    <w:rsid w:val="00F939CD"/>
    <w:rsid w:val="00F94F30"/>
    <w:rsid w:val="00F9589A"/>
    <w:rsid w:val="00F971B7"/>
    <w:rsid w:val="00F97C38"/>
    <w:rsid w:val="00FA1E98"/>
    <w:rsid w:val="00FB1C90"/>
    <w:rsid w:val="00FC4B4B"/>
    <w:rsid w:val="00FC5D49"/>
    <w:rsid w:val="00FD0465"/>
    <w:rsid w:val="00FD4F27"/>
    <w:rsid w:val="00FD525D"/>
    <w:rsid w:val="00FD538E"/>
    <w:rsid w:val="00FF2093"/>
    <w:rsid w:val="00FF3353"/>
    <w:rsid w:val="00FF4A35"/>
    <w:rsid w:val="00FF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5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EA1C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D52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677BF"/>
    <w:pPr>
      <w:jc w:val="center"/>
    </w:pPr>
    <w:rPr>
      <w:rFonts w:ascii="Arial" w:hAnsi="Arial"/>
      <w:b/>
      <w:color w:val="000000"/>
      <w:sz w:val="22"/>
      <w:szCs w:val="20"/>
    </w:rPr>
  </w:style>
  <w:style w:type="character" w:customStyle="1" w:styleId="SubtitleChar">
    <w:name w:val="Subtitle Char"/>
    <w:basedOn w:val="DefaultParagraphFont"/>
    <w:link w:val="Subtitle"/>
    <w:rsid w:val="001677BF"/>
    <w:rPr>
      <w:rFonts w:ascii="Arial" w:eastAsia="Times New Roman" w:hAnsi="Arial" w:cs="Times New Roman"/>
      <w:b/>
      <w:color w:val="000000"/>
      <w:szCs w:val="20"/>
    </w:rPr>
  </w:style>
  <w:style w:type="paragraph" w:styleId="Header">
    <w:name w:val="header"/>
    <w:basedOn w:val="Normal"/>
    <w:link w:val="HeaderChar"/>
    <w:uiPriority w:val="99"/>
    <w:unhideWhenUsed/>
    <w:rsid w:val="000A3F76"/>
    <w:pPr>
      <w:tabs>
        <w:tab w:val="center" w:pos="4680"/>
        <w:tab w:val="right" w:pos="9360"/>
      </w:tabs>
    </w:pPr>
  </w:style>
  <w:style w:type="character" w:customStyle="1" w:styleId="HeaderChar">
    <w:name w:val="Header Char"/>
    <w:basedOn w:val="DefaultParagraphFont"/>
    <w:link w:val="Header"/>
    <w:uiPriority w:val="99"/>
    <w:rsid w:val="000A3F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F76"/>
    <w:pPr>
      <w:tabs>
        <w:tab w:val="center" w:pos="4680"/>
        <w:tab w:val="right" w:pos="9360"/>
      </w:tabs>
    </w:pPr>
  </w:style>
  <w:style w:type="character" w:customStyle="1" w:styleId="FooterChar">
    <w:name w:val="Footer Char"/>
    <w:basedOn w:val="DefaultParagraphFont"/>
    <w:link w:val="Footer"/>
    <w:uiPriority w:val="99"/>
    <w:rsid w:val="000A3F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F76"/>
    <w:rPr>
      <w:rFonts w:ascii="Tahoma" w:hAnsi="Tahoma" w:cs="Tahoma"/>
      <w:sz w:val="16"/>
      <w:szCs w:val="16"/>
    </w:rPr>
  </w:style>
  <w:style w:type="character" w:customStyle="1" w:styleId="BalloonTextChar">
    <w:name w:val="Balloon Text Char"/>
    <w:basedOn w:val="DefaultParagraphFont"/>
    <w:link w:val="BalloonText"/>
    <w:uiPriority w:val="99"/>
    <w:semiHidden/>
    <w:rsid w:val="000A3F76"/>
    <w:rPr>
      <w:rFonts w:ascii="Tahoma" w:eastAsia="Times New Roman" w:hAnsi="Tahoma" w:cs="Tahoma"/>
      <w:sz w:val="16"/>
      <w:szCs w:val="16"/>
    </w:rPr>
  </w:style>
  <w:style w:type="paragraph" w:styleId="BodyText">
    <w:name w:val="Body Text"/>
    <w:basedOn w:val="Normal"/>
    <w:link w:val="BodyTextChar"/>
    <w:uiPriority w:val="99"/>
    <w:semiHidden/>
    <w:unhideWhenUsed/>
    <w:rsid w:val="00FF4A35"/>
    <w:rPr>
      <w:rFonts w:ascii="Arial" w:eastAsiaTheme="minorHAnsi" w:hAnsi="Arial" w:cs="Arial"/>
      <w:sz w:val="20"/>
      <w:szCs w:val="20"/>
    </w:rPr>
  </w:style>
  <w:style w:type="character" w:customStyle="1" w:styleId="BodyTextChar">
    <w:name w:val="Body Text Char"/>
    <w:basedOn w:val="DefaultParagraphFont"/>
    <w:link w:val="BodyText"/>
    <w:uiPriority w:val="99"/>
    <w:semiHidden/>
    <w:rsid w:val="00FF4A35"/>
    <w:rPr>
      <w:rFonts w:ascii="Arial" w:hAnsi="Arial" w:cs="Arial"/>
      <w:sz w:val="20"/>
      <w:szCs w:val="20"/>
    </w:rPr>
  </w:style>
  <w:style w:type="paragraph" w:styleId="NoSpacing">
    <w:name w:val="No Spacing"/>
    <w:uiPriority w:val="1"/>
    <w:qFormat/>
    <w:rsid w:val="00FF4A35"/>
    <w:pPr>
      <w:spacing w:after="0" w:line="240" w:lineRule="auto"/>
    </w:pPr>
    <w:rPr>
      <w:rFonts w:ascii="Times New Roman" w:eastAsia="Times New Roman" w:hAnsi="Times New Roman" w:cs="Times New Roman"/>
      <w:sz w:val="24"/>
      <w:szCs w:val="24"/>
    </w:rPr>
  </w:style>
  <w:style w:type="paragraph" w:customStyle="1" w:styleId="TableFootnote">
    <w:name w:val="TableFootnote"/>
    <w:basedOn w:val="Normal"/>
    <w:qFormat/>
    <w:rsid w:val="00955916"/>
    <w:rPr>
      <w:rFonts w:ascii="Arial" w:eastAsiaTheme="minorHAnsi" w:hAnsi="Arial" w:cs="Arial"/>
      <w:color w:val="000000"/>
      <w:sz w:val="16"/>
      <w:szCs w:val="16"/>
    </w:rPr>
  </w:style>
  <w:style w:type="character" w:customStyle="1" w:styleId="Heading5Char">
    <w:name w:val="Heading 5 Char"/>
    <w:basedOn w:val="DefaultParagraphFont"/>
    <w:link w:val="Heading5"/>
    <w:rsid w:val="00EA1CF3"/>
    <w:rPr>
      <w:rFonts w:ascii="Times New Roman" w:eastAsia="Times New Roman" w:hAnsi="Times New Roman" w:cs="Times New Roman"/>
      <w:b/>
      <w:bCs/>
      <w:i/>
      <w:iCs/>
      <w:sz w:val="26"/>
      <w:szCs w:val="26"/>
    </w:rPr>
  </w:style>
  <w:style w:type="paragraph" w:customStyle="1" w:styleId="Table">
    <w:name w:val="Table"/>
    <w:basedOn w:val="Normal"/>
    <w:rsid w:val="00A25F9F"/>
    <w:rPr>
      <w:rFonts w:ascii="Arial" w:eastAsiaTheme="minorHAnsi" w:hAnsi="Arial" w:cs="Arial"/>
      <w:color w:val="000000"/>
      <w:sz w:val="16"/>
      <w:szCs w:val="16"/>
    </w:rPr>
  </w:style>
  <w:style w:type="paragraph" w:styleId="ListParagraph">
    <w:name w:val="List Paragraph"/>
    <w:basedOn w:val="Normal"/>
    <w:uiPriority w:val="34"/>
    <w:qFormat/>
    <w:rsid w:val="00EF1CC4"/>
    <w:pPr>
      <w:ind w:left="720"/>
      <w:contextualSpacing/>
    </w:pPr>
  </w:style>
  <w:style w:type="table" w:styleId="TableGrid">
    <w:name w:val="Table Grid"/>
    <w:basedOn w:val="TableNormal"/>
    <w:rsid w:val="00B92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1D13"/>
    <w:rPr>
      <w:color w:val="0000FF"/>
      <w:u w:val="single"/>
    </w:rPr>
  </w:style>
  <w:style w:type="character" w:styleId="FollowedHyperlink">
    <w:name w:val="FollowedHyperlink"/>
    <w:basedOn w:val="DefaultParagraphFont"/>
    <w:uiPriority w:val="99"/>
    <w:semiHidden/>
    <w:unhideWhenUsed/>
    <w:rsid w:val="000B7AE0"/>
    <w:rPr>
      <w:color w:val="800080" w:themeColor="followedHyperlink"/>
      <w:u w:val="single"/>
    </w:rPr>
  </w:style>
  <w:style w:type="paragraph" w:styleId="HTMLPreformatted">
    <w:name w:val="HTML Preformatted"/>
    <w:basedOn w:val="Normal"/>
    <w:link w:val="HTMLPreformattedChar"/>
    <w:uiPriority w:val="99"/>
    <w:unhideWhenUsed/>
    <w:rsid w:val="003F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670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D525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8D5255"/>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8D5255"/>
    <w:pPr>
      <w:pBdr>
        <w:top w:val="single" w:sz="4" w:space="1" w:color="auto"/>
        <w:bottom w:val="single" w:sz="4" w:space="1" w:color="auto"/>
      </w:pBdr>
      <w:shd w:val="pct10" w:color="auto" w:fill="auto"/>
      <w:jc w:val="center"/>
    </w:pPr>
    <w:rPr>
      <w:b/>
      <w:bCs/>
    </w:rPr>
  </w:style>
  <w:style w:type="character" w:customStyle="1" w:styleId="TitleChar">
    <w:name w:val="Title Char"/>
    <w:basedOn w:val="DefaultParagraphFont"/>
    <w:link w:val="Title"/>
    <w:rsid w:val="008D5255"/>
    <w:rPr>
      <w:rFonts w:ascii="Times New Roman" w:eastAsia="Times New Roman" w:hAnsi="Times New Roman" w:cs="Times New Roman"/>
      <w:b/>
      <w:bCs/>
      <w:sz w:val="24"/>
      <w:szCs w:val="24"/>
      <w:shd w:val="pct10" w:color="auto" w:fill="auto"/>
    </w:rPr>
  </w:style>
  <w:style w:type="paragraph" w:styleId="NormalWeb">
    <w:name w:val="Normal (Web)"/>
    <w:basedOn w:val="Normal"/>
    <w:uiPriority w:val="99"/>
    <w:semiHidden/>
    <w:unhideWhenUsed/>
    <w:rsid w:val="00E95A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5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EA1C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D52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677BF"/>
    <w:pPr>
      <w:jc w:val="center"/>
    </w:pPr>
    <w:rPr>
      <w:rFonts w:ascii="Arial" w:hAnsi="Arial"/>
      <w:b/>
      <w:color w:val="000000"/>
      <w:sz w:val="22"/>
      <w:szCs w:val="20"/>
    </w:rPr>
  </w:style>
  <w:style w:type="character" w:customStyle="1" w:styleId="SubtitleChar">
    <w:name w:val="Subtitle Char"/>
    <w:basedOn w:val="DefaultParagraphFont"/>
    <w:link w:val="Subtitle"/>
    <w:rsid w:val="001677BF"/>
    <w:rPr>
      <w:rFonts w:ascii="Arial" w:eastAsia="Times New Roman" w:hAnsi="Arial" w:cs="Times New Roman"/>
      <w:b/>
      <w:color w:val="000000"/>
      <w:szCs w:val="20"/>
    </w:rPr>
  </w:style>
  <w:style w:type="paragraph" w:styleId="Header">
    <w:name w:val="header"/>
    <w:basedOn w:val="Normal"/>
    <w:link w:val="HeaderChar"/>
    <w:uiPriority w:val="99"/>
    <w:unhideWhenUsed/>
    <w:rsid w:val="000A3F76"/>
    <w:pPr>
      <w:tabs>
        <w:tab w:val="center" w:pos="4680"/>
        <w:tab w:val="right" w:pos="9360"/>
      </w:tabs>
    </w:pPr>
  </w:style>
  <w:style w:type="character" w:customStyle="1" w:styleId="HeaderChar">
    <w:name w:val="Header Char"/>
    <w:basedOn w:val="DefaultParagraphFont"/>
    <w:link w:val="Header"/>
    <w:uiPriority w:val="99"/>
    <w:rsid w:val="000A3F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F76"/>
    <w:pPr>
      <w:tabs>
        <w:tab w:val="center" w:pos="4680"/>
        <w:tab w:val="right" w:pos="9360"/>
      </w:tabs>
    </w:pPr>
  </w:style>
  <w:style w:type="character" w:customStyle="1" w:styleId="FooterChar">
    <w:name w:val="Footer Char"/>
    <w:basedOn w:val="DefaultParagraphFont"/>
    <w:link w:val="Footer"/>
    <w:uiPriority w:val="99"/>
    <w:rsid w:val="000A3F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F76"/>
    <w:rPr>
      <w:rFonts w:ascii="Tahoma" w:hAnsi="Tahoma" w:cs="Tahoma"/>
      <w:sz w:val="16"/>
      <w:szCs w:val="16"/>
    </w:rPr>
  </w:style>
  <w:style w:type="character" w:customStyle="1" w:styleId="BalloonTextChar">
    <w:name w:val="Balloon Text Char"/>
    <w:basedOn w:val="DefaultParagraphFont"/>
    <w:link w:val="BalloonText"/>
    <w:uiPriority w:val="99"/>
    <w:semiHidden/>
    <w:rsid w:val="000A3F76"/>
    <w:rPr>
      <w:rFonts w:ascii="Tahoma" w:eastAsia="Times New Roman" w:hAnsi="Tahoma" w:cs="Tahoma"/>
      <w:sz w:val="16"/>
      <w:szCs w:val="16"/>
    </w:rPr>
  </w:style>
  <w:style w:type="paragraph" w:styleId="BodyText">
    <w:name w:val="Body Text"/>
    <w:basedOn w:val="Normal"/>
    <w:link w:val="BodyTextChar"/>
    <w:uiPriority w:val="99"/>
    <w:semiHidden/>
    <w:unhideWhenUsed/>
    <w:rsid w:val="00FF4A35"/>
    <w:rPr>
      <w:rFonts w:ascii="Arial" w:eastAsiaTheme="minorHAnsi" w:hAnsi="Arial" w:cs="Arial"/>
      <w:sz w:val="20"/>
      <w:szCs w:val="20"/>
    </w:rPr>
  </w:style>
  <w:style w:type="character" w:customStyle="1" w:styleId="BodyTextChar">
    <w:name w:val="Body Text Char"/>
    <w:basedOn w:val="DefaultParagraphFont"/>
    <w:link w:val="BodyText"/>
    <w:uiPriority w:val="99"/>
    <w:semiHidden/>
    <w:rsid w:val="00FF4A35"/>
    <w:rPr>
      <w:rFonts w:ascii="Arial" w:hAnsi="Arial" w:cs="Arial"/>
      <w:sz w:val="20"/>
      <w:szCs w:val="20"/>
    </w:rPr>
  </w:style>
  <w:style w:type="paragraph" w:styleId="NoSpacing">
    <w:name w:val="No Spacing"/>
    <w:uiPriority w:val="1"/>
    <w:qFormat/>
    <w:rsid w:val="00FF4A35"/>
    <w:pPr>
      <w:spacing w:after="0" w:line="240" w:lineRule="auto"/>
    </w:pPr>
    <w:rPr>
      <w:rFonts w:ascii="Times New Roman" w:eastAsia="Times New Roman" w:hAnsi="Times New Roman" w:cs="Times New Roman"/>
      <w:sz w:val="24"/>
      <w:szCs w:val="24"/>
    </w:rPr>
  </w:style>
  <w:style w:type="paragraph" w:customStyle="1" w:styleId="TableFootnote">
    <w:name w:val="TableFootnote"/>
    <w:basedOn w:val="Normal"/>
    <w:qFormat/>
    <w:rsid w:val="00955916"/>
    <w:rPr>
      <w:rFonts w:ascii="Arial" w:eastAsiaTheme="minorHAnsi" w:hAnsi="Arial" w:cs="Arial"/>
      <w:color w:val="000000"/>
      <w:sz w:val="16"/>
      <w:szCs w:val="16"/>
    </w:rPr>
  </w:style>
  <w:style w:type="character" w:customStyle="1" w:styleId="Heading5Char">
    <w:name w:val="Heading 5 Char"/>
    <w:basedOn w:val="DefaultParagraphFont"/>
    <w:link w:val="Heading5"/>
    <w:rsid w:val="00EA1CF3"/>
    <w:rPr>
      <w:rFonts w:ascii="Times New Roman" w:eastAsia="Times New Roman" w:hAnsi="Times New Roman" w:cs="Times New Roman"/>
      <w:b/>
      <w:bCs/>
      <w:i/>
      <w:iCs/>
      <w:sz w:val="26"/>
      <w:szCs w:val="26"/>
    </w:rPr>
  </w:style>
  <w:style w:type="paragraph" w:customStyle="1" w:styleId="Table">
    <w:name w:val="Table"/>
    <w:basedOn w:val="Normal"/>
    <w:rsid w:val="00A25F9F"/>
    <w:rPr>
      <w:rFonts w:ascii="Arial" w:eastAsiaTheme="minorHAnsi" w:hAnsi="Arial" w:cs="Arial"/>
      <w:color w:val="000000"/>
      <w:sz w:val="16"/>
      <w:szCs w:val="16"/>
    </w:rPr>
  </w:style>
  <w:style w:type="paragraph" w:styleId="ListParagraph">
    <w:name w:val="List Paragraph"/>
    <w:basedOn w:val="Normal"/>
    <w:uiPriority w:val="34"/>
    <w:qFormat/>
    <w:rsid w:val="00EF1CC4"/>
    <w:pPr>
      <w:ind w:left="720"/>
      <w:contextualSpacing/>
    </w:pPr>
  </w:style>
  <w:style w:type="table" w:styleId="TableGrid">
    <w:name w:val="Table Grid"/>
    <w:basedOn w:val="TableNormal"/>
    <w:rsid w:val="00B92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1D13"/>
    <w:rPr>
      <w:color w:val="0000FF"/>
      <w:u w:val="single"/>
    </w:rPr>
  </w:style>
  <w:style w:type="character" w:styleId="FollowedHyperlink">
    <w:name w:val="FollowedHyperlink"/>
    <w:basedOn w:val="DefaultParagraphFont"/>
    <w:uiPriority w:val="99"/>
    <w:semiHidden/>
    <w:unhideWhenUsed/>
    <w:rsid w:val="000B7AE0"/>
    <w:rPr>
      <w:color w:val="800080" w:themeColor="followedHyperlink"/>
      <w:u w:val="single"/>
    </w:rPr>
  </w:style>
  <w:style w:type="paragraph" w:styleId="HTMLPreformatted">
    <w:name w:val="HTML Preformatted"/>
    <w:basedOn w:val="Normal"/>
    <w:link w:val="HTMLPreformattedChar"/>
    <w:uiPriority w:val="99"/>
    <w:unhideWhenUsed/>
    <w:rsid w:val="003F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670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D525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8D5255"/>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8D5255"/>
    <w:pPr>
      <w:pBdr>
        <w:top w:val="single" w:sz="4" w:space="1" w:color="auto"/>
        <w:bottom w:val="single" w:sz="4" w:space="1" w:color="auto"/>
      </w:pBdr>
      <w:shd w:val="pct10" w:color="auto" w:fill="auto"/>
      <w:jc w:val="center"/>
    </w:pPr>
    <w:rPr>
      <w:b/>
      <w:bCs/>
    </w:rPr>
  </w:style>
  <w:style w:type="character" w:customStyle="1" w:styleId="TitleChar">
    <w:name w:val="Title Char"/>
    <w:basedOn w:val="DefaultParagraphFont"/>
    <w:link w:val="Title"/>
    <w:rsid w:val="008D5255"/>
    <w:rPr>
      <w:rFonts w:ascii="Times New Roman" w:eastAsia="Times New Roman" w:hAnsi="Times New Roman" w:cs="Times New Roman"/>
      <w:b/>
      <w:bCs/>
      <w:sz w:val="24"/>
      <w:szCs w:val="24"/>
      <w:shd w:val="pct10" w:color="auto" w:fill="auto"/>
    </w:rPr>
  </w:style>
  <w:style w:type="paragraph" w:styleId="NormalWeb">
    <w:name w:val="Normal (Web)"/>
    <w:basedOn w:val="Normal"/>
    <w:uiPriority w:val="99"/>
    <w:semiHidden/>
    <w:unhideWhenUsed/>
    <w:rsid w:val="00E95A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3002">
      <w:bodyDiv w:val="1"/>
      <w:marLeft w:val="0"/>
      <w:marRight w:val="0"/>
      <w:marTop w:val="0"/>
      <w:marBottom w:val="0"/>
      <w:divBdr>
        <w:top w:val="none" w:sz="0" w:space="0" w:color="auto"/>
        <w:left w:val="none" w:sz="0" w:space="0" w:color="auto"/>
        <w:bottom w:val="none" w:sz="0" w:space="0" w:color="auto"/>
        <w:right w:val="none" w:sz="0" w:space="0" w:color="auto"/>
      </w:divBdr>
      <w:divsChild>
        <w:div w:id="1530802143">
          <w:marLeft w:val="0"/>
          <w:marRight w:val="0"/>
          <w:marTop w:val="0"/>
          <w:marBottom w:val="0"/>
          <w:divBdr>
            <w:top w:val="none" w:sz="0" w:space="0" w:color="auto"/>
            <w:left w:val="none" w:sz="0" w:space="0" w:color="auto"/>
            <w:bottom w:val="none" w:sz="0" w:space="0" w:color="auto"/>
            <w:right w:val="none" w:sz="0" w:space="0" w:color="auto"/>
          </w:divBdr>
          <w:divsChild>
            <w:div w:id="1734885496">
              <w:marLeft w:val="0"/>
              <w:marRight w:val="0"/>
              <w:marTop w:val="0"/>
              <w:marBottom w:val="0"/>
              <w:divBdr>
                <w:top w:val="none" w:sz="0" w:space="0" w:color="auto"/>
                <w:left w:val="none" w:sz="0" w:space="0" w:color="auto"/>
                <w:bottom w:val="none" w:sz="0" w:space="0" w:color="auto"/>
                <w:right w:val="none" w:sz="0" w:space="0" w:color="auto"/>
              </w:divBdr>
              <w:divsChild>
                <w:div w:id="976760297">
                  <w:marLeft w:val="0"/>
                  <w:marRight w:val="0"/>
                  <w:marTop w:val="0"/>
                  <w:marBottom w:val="0"/>
                  <w:divBdr>
                    <w:top w:val="none" w:sz="0" w:space="0" w:color="auto"/>
                    <w:left w:val="none" w:sz="0" w:space="0" w:color="auto"/>
                    <w:bottom w:val="none" w:sz="0" w:space="0" w:color="auto"/>
                    <w:right w:val="none" w:sz="0" w:space="0" w:color="auto"/>
                  </w:divBdr>
                  <w:divsChild>
                    <w:div w:id="10391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24892">
      <w:bodyDiv w:val="1"/>
      <w:marLeft w:val="0"/>
      <w:marRight w:val="0"/>
      <w:marTop w:val="0"/>
      <w:marBottom w:val="0"/>
      <w:divBdr>
        <w:top w:val="none" w:sz="0" w:space="0" w:color="auto"/>
        <w:left w:val="none" w:sz="0" w:space="0" w:color="auto"/>
        <w:bottom w:val="none" w:sz="0" w:space="0" w:color="auto"/>
        <w:right w:val="none" w:sz="0" w:space="0" w:color="auto"/>
      </w:divBdr>
    </w:div>
    <w:div w:id="915361539">
      <w:bodyDiv w:val="1"/>
      <w:marLeft w:val="0"/>
      <w:marRight w:val="0"/>
      <w:marTop w:val="0"/>
      <w:marBottom w:val="0"/>
      <w:divBdr>
        <w:top w:val="none" w:sz="0" w:space="0" w:color="auto"/>
        <w:left w:val="none" w:sz="0" w:space="0" w:color="auto"/>
        <w:bottom w:val="none" w:sz="0" w:space="0" w:color="auto"/>
        <w:right w:val="none" w:sz="0" w:space="0" w:color="auto"/>
      </w:divBdr>
    </w:div>
    <w:div w:id="925265016">
      <w:bodyDiv w:val="1"/>
      <w:marLeft w:val="0"/>
      <w:marRight w:val="0"/>
      <w:marTop w:val="0"/>
      <w:marBottom w:val="0"/>
      <w:divBdr>
        <w:top w:val="none" w:sz="0" w:space="0" w:color="auto"/>
        <w:left w:val="none" w:sz="0" w:space="0" w:color="auto"/>
        <w:bottom w:val="none" w:sz="0" w:space="0" w:color="auto"/>
        <w:right w:val="none" w:sz="0" w:space="0" w:color="auto"/>
      </w:divBdr>
      <w:divsChild>
        <w:div w:id="1790851811">
          <w:marLeft w:val="0"/>
          <w:marRight w:val="0"/>
          <w:marTop w:val="0"/>
          <w:marBottom w:val="0"/>
          <w:divBdr>
            <w:top w:val="none" w:sz="0" w:space="0" w:color="auto"/>
            <w:left w:val="none" w:sz="0" w:space="0" w:color="auto"/>
            <w:bottom w:val="none" w:sz="0" w:space="0" w:color="auto"/>
            <w:right w:val="none" w:sz="0" w:space="0" w:color="auto"/>
          </w:divBdr>
          <w:divsChild>
            <w:div w:id="777797135">
              <w:marLeft w:val="0"/>
              <w:marRight w:val="0"/>
              <w:marTop w:val="0"/>
              <w:marBottom w:val="0"/>
              <w:divBdr>
                <w:top w:val="none" w:sz="0" w:space="0" w:color="auto"/>
                <w:left w:val="none" w:sz="0" w:space="0" w:color="auto"/>
                <w:bottom w:val="none" w:sz="0" w:space="0" w:color="auto"/>
                <w:right w:val="none" w:sz="0" w:space="0" w:color="auto"/>
              </w:divBdr>
              <w:divsChild>
                <w:div w:id="323163612">
                  <w:marLeft w:val="0"/>
                  <w:marRight w:val="0"/>
                  <w:marTop w:val="0"/>
                  <w:marBottom w:val="0"/>
                  <w:divBdr>
                    <w:top w:val="none" w:sz="0" w:space="0" w:color="auto"/>
                    <w:left w:val="none" w:sz="0" w:space="0" w:color="auto"/>
                    <w:bottom w:val="none" w:sz="0" w:space="0" w:color="auto"/>
                    <w:right w:val="none" w:sz="0" w:space="0" w:color="auto"/>
                  </w:divBdr>
                  <w:divsChild>
                    <w:div w:id="399788171">
                      <w:marLeft w:val="0"/>
                      <w:marRight w:val="0"/>
                      <w:marTop w:val="0"/>
                      <w:marBottom w:val="0"/>
                      <w:divBdr>
                        <w:top w:val="none" w:sz="0" w:space="0" w:color="auto"/>
                        <w:left w:val="none" w:sz="0" w:space="0" w:color="auto"/>
                        <w:bottom w:val="none" w:sz="0" w:space="0" w:color="auto"/>
                        <w:right w:val="none" w:sz="0" w:space="0" w:color="auto"/>
                      </w:divBdr>
                      <w:divsChild>
                        <w:div w:id="1495413170">
                          <w:marLeft w:val="0"/>
                          <w:marRight w:val="0"/>
                          <w:marTop w:val="0"/>
                          <w:marBottom w:val="0"/>
                          <w:divBdr>
                            <w:top w:val="none" w:sz="0" w:space="0" w:color="auto"/>
                            <w:left w:val="none" w:sz="0" w:space="0" w:color="auto"/>
                            <w:bottom w:val="none" w:sz="0" w:space="0" w:color="auto"/>
                            <w:right w:val="none" w:sz="0" w:space="0" w:color="auto"/>
                          </w:divBdr>
                          <w:divsChild>
                            <w:div w:id="890653907">
                              <w:marLeft w:val="0"/>
                              <w:marRight w:val="0"/>
                              <w:marTop w:val="0"/>
                              <w:marBottom w:val="0"/>
                              <w:divBdr>
                                <w:top w:val="none" w:sz="0" w:space="0" w:color="auto"/>
                                <w:left w:val="none" w:sz="0" w:space="0" w:color="auto"/>
                                <w:bottom w:val="none" w:sz="0" w:space="0" w:color="auto"/>
                                <w:right w:val="none" w:sz="0" w:space="0" w:color="auto"/>
                              </w:divBdr>
                              <w:divsChild>
                                <w:div w:id="922223394">
                                  <w:marLeft w:val="0"/>
                                  <w:marRight w:val="0"/>
                                  <w:marTop w:val="0"/>
                                  <w:marBottom w:val="0"/>
                                  <w:divBdr>
                                    <w:top w:val="none" w:sz="0" w:space="0" w:color="auto"/>
                                    <w:left w:val="none" w:sz="0" w:space="0" w:color="auto"/>
                                    <w:bottom w:val="none" w:sz="0" w:space="0" w:color="auto"/>
                                    <w:right w:val="none" w:sz="0" w:space="0" w:color="auto"/>
                                  </w:divBdr>
                                  <w:divsChild>
                                    <w:div w:id="81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542907">
      <w:bodyDiv w:val="1"/>
      <w:marLeft w:val="0"/>
      <w:marRight w:val="0"/>
      <w:marTop w:val="0"/>
      <w:marBottom w:val="0"/>
      <w:divBdr>
        <w:top w:val="none" w:sz="0" w:space="0" w:color="auto"/>
        <w:left w:val="none" w:sz="0" w:space="0" w:color="auto"/>
        <w:bottom w:val="none" w:sz="0" w:space="0" w:color="auto"/>
        <w:right w:val="none" w:sz="0" w:space="0" w:color="auto"/>
      </w:divBdr>
    </w:div>
    <w:div w:id="1232739956">
      <w:bodyDiv w:val="1"/>
      <w:marLeft w:val="0"/>
      <w:marRight w:val="0"/>
      <w:marTop w:val="0"/>
      <w:marBottom w:val="0"/>
      <w:divBdr>
        <w:top w:val="none" w:sz="0" w:space="0" w:color="auto"/>
        <w:left w:val="none" w:sz="0" w:space="0" w:color="auto"/>
        <w:bottom w:val="none" w:sz="0" w:space="0" w:color="auto"/>
        <w:right w:val="none" w:sz="0" w:space="0" w:color="auto"/>
      </w:divBdr>
    </w:div>
    <w:div w:id="1339622971">
      <w:bodyDiv w:val="1"/>
      <w:marLeft w:val="0"/>
      <w:marRight w:val="0"/>
      <w:marTop w:val="0"/>
      <w:marBottom w:val="0"/>
      <w:divBdr>
        <w:top w:val="none" w:sz="0" w:space="0" w:color="auto"/>
        <w:left w:val="none" w:sz="0" w:space="0" w:color="auto"/>
        <w:bottom w:val="none" w:sz="0" w:space="0" w:color="auto"/>
        <w:right w:val="none" w:sz="0" w:space="0" w:color="auto"/>
      </w:divBdr>
    </w:div>
    <w:div w:id="1678923643">
      <w:bodyDiv w:val="1"/>
      <w:marLeft w:val="0"/>
      <w:marRight w:val="0"/>
      <w:marTop w:val="0"/>
      <w:marBottom w:val="0"/>
      <w:divBdr>
        <w:top w:val="none" w:sz="0" w:space="0" w:color="auto"/>
        <w:left w:val="none" w:sz="0" w:space="0" w:color="auto"/>
        <w:bottom w:val="none" w:sz="0" w:space="0" w:color="auto"/>
        <w:right w:val="none" w:sz="0" w:space="0" w:color="auto"/>
      </w:divBdr>
    </w:div>
    <w:div w:id="1720548900">
      <w:bodyDiv w:val="1"/>
      <w:marLeft w:val="0"/>
      <w:marRight w:val="0"/>
      <w:marTop w:val="0"/>
      <w:marBottom w:val="0"/>
      <w:divBdr>
        <w:top w:val="none" w:sz="0" w:space="0" w:color="auto"/>
        <w:left w:val="none" w:sz="0" w:space="0" w:color="auto"/>
        <w:bottom w:val="none" w:sz="0" w:space="0" w:color="auto"/>
        <w:right w:val="none" w:sz="0" w:space="0" w:color="auto"/>
      </w:divBdr>
      <w:divsChild>
        <w:div w:id="397482756">
          <w:marLeft w:val="0"/>
          <w:marRight w:val="0"/>
          <w:marTop w:val="0"/>
          <w:marBottom w:val="0"/>
          <w:divBdr>
            <w:top w:val="none" w:sz="0" w:space="0" w:color="auto"/>
            <w:left w:val="none" w:sz="0" w:space="0" w:color="auto"/>
            <w:bottom w:val="none" w:sz="0" w:space="0" w:color="auto"/>
            <w:right w:val="none" w:sz="0" w:space="0" w:color="auto"/>
          </w:divBdr>
          <w:divsChild>
            <w:div w:id="1590656683">
              <w:marLeft w:val="0"/>
              <w:marRight w:val="0"/>
              <w:marTop w:val="0"/>
              <w:marBottom w:val="0"/>
              <w:divBdr>
                <w:top w:val="none" w:sz="0" w:space="0" w:color="auto"/>
                <w:left w:val="none" w:sz="0" w:space="0" w:color="auto"/>
                <w:bottom w:val="none" w:sz="0" w:space="0" w:color="auto"/>
                <w:right w:val="none" w:sz="0" w:space="0" w:color="auto"/>
              </w:divBdr>
              <w:divsChild>
                <w:div w:id="1253247136">
                  <w:marLeft w:val="0"/>
                  <w:marRight w:val="0"/>
                  <w:marTop w:val="0"/>
                  <w:marBottom w:val="0"/>
                  <w:divBdr>
                    <w:top w:val="none" w:sz="0" w:space="0" w:color="auto"/>
                    <w:left w:val="none" w:sz="0" w:space="0" w:color="auto"/>
                    <w:bottom w:val="none" w:sz="0" w:space="0" w:color="auto"/>
                    <w:right w:val="none" w:sz="0" w:space="0" w:color="auto"/>
                  </w:divBdr>
                  <w:divsChild>
                    <w:div w:id="18025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87141">
      <w:bodyDiv w:val="1"/>
      <w:marLeft w:val="0"/>
      <w:marRight w:val="0"/>
      <w:marTop w:val="0"/>
      <w:marBottom w:val="0"/>
      <w:divBdr>
        <w:top w:val="none" w:sz="0" w:space="0" w:color="auto"/>
        <w:left w:val="none" w:sz="0" w:space="0" w:color="auto"/>
        <w:bottom w:val="none" w:sz="0" w:space="0" w:color="auto"/>
        <w:right w:val="none" w:sz="0" w:space="0" w:color="auto"/>
      </w:divBdr>
    </w:div>
    <w:div w:id="19740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fda.gov/downloads/AdvisoryCommittees/CommitteesMeetingMaterials/Drugs/Pulmonary-AllergyDrugsAdvisoryCommittee/UCM347931.pdf" TargetMode="External"/><Relationship Id="rId4" Type="http://schemas.microsoft.com/office/2007/relationships/stylesWithEffects" Target="stylesWithEffects.xml"/><Relationship Id="rId9" Type="http://schemas.openxmlformats.org/officeDocument/2006/relationships/hyperlink" Target="http://vaww.national.cmop.va.gov/PBM/Directives%20Policies%20and%20Information%20Letters/Guidance%20on%20Off%20Label%20Prescribing.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vaww.pbm.va.gov" TargetMode="External"/><Relationship Id="rId1" Type="http://schemas.openxmlformats.org/officeDocument/2006/relationships/hyperlink" Target="http://www.pbm.v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20ED0BA549147B67B93624EC38BE2" ma:contentTypeVersion="1" ma:contentTypeDescription="Create a new document." ma:contentTypeScope="" ma:versionID="b11ac1f38211a3099184790f2c9a42aa">
  <xsd:schema xmlns:xsd="http://www.w3.org/2001/XMLSchema" xmlns:xs="http://www.w3.org/2001/XMLSchema" xmlns:p="http://schemas.microsoft.com/office/2006/metadata/properties" xmlns:ns1="http://schemas.microsoft.com/sharepoint/v3" targetNamespace="http://schemas.microsoft.com/office/2006/metadata/properties" ma:root="true" ma:fieldsID="341e375015c50f2ed44184d8d0dcf8ad"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fals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fals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0x0101007D220ED0BA549147B67B93624EC38BE2</ContentTypeId>
    <TemplateUrl xmlns="http://schemas.microsoft.com/sharepoint/v3" xsi:nil="true"/>
    <_SourceUrl xmlns="http://schemas.microsoft.com/sharepoint/v3" xsi:nil="true"/>
    <Created_x0020_Date xmlns="http://schemas.microsoft.com/sharepoint/v3" xsi:nil="true"/>
    <_HasCopyDestinations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B112C87F-2F7D-46E8-A214-A255B72C2BB6}"/>
</file>

<file path=customXml/itemProps2.xml><?xml version="1.0" encoding="utf-8"?>
<ds:datastoreItem xmlns:ds="http://schemas.openxmlformats.org/officeDocument/2006/customXml" ds:itemID="{41F6574E-60EF-4C9D-B7B4-154F3064610D}"/>
</file>

<file path=customXml/itemProps3.xml><?xml version="1.0" encoding="utf-8"?>
<ds:datastoreItem xmlns:ds="http://schemas.openxmlformats.org/officeDocument/2006/customXml" ds:itemID="{24EF001D-E17D-4D2C-81DC-E79004D0B170}"/>
</file>

<file path=customXml/itemProps4.xml><?xml version="1.0" encoding="utf-8"?>
<ds:datastoreItem xmlns:ds="http://schemas.openxmlformats.org/officeDocument/2006/customXml" ds:itemID="{A825027E-7C85-4EA3-AC3A-51E782739FAF}"/>
</file>

<file path=docProps/app.xml><?xml version="1.0" encoding="utf-8"?>
<Properties xmlns="http://schemas.openxmlformats.org/officeDocument/2006/extended-properties" xmlns:vt="http://schemas.openxmlformats.org/officeDocument/2006/docPropsVTypes">
  <Template>Normal</Template>
  <TotalTime>2588</TotalTime>
  <Pages>10</Pages>
  <Words>5006</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VHAPBHKhachD</dc:creator>
  <cp:lastModifiedBy>Khachikian, Debbie</cp:lastModifiedBy>
  <cp:revision>138</cp:revision>
  <dcterms:created xsi:type="dcterms:W3CDTF">2013-09-16T15:42:00Z</dcterms:created>
  <dcterms:modified xsi:type="dcterms:W3CDTF">2014-01-21T15:39:00Z</dcterms:modified>
</cp:coreProperties>
</file>